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2297" w:rsidRDefault="00202297" w:rsidP="00486C2F">
      <w:r>
        <w:t>SUPREME COURT OF THE STATE OF NEW YORK</w:t>
      </w:r>
    </w:p>
    <w:p w:rsidR="00202297" w:rsidRDefault="00202297" w:rsidP="00486C2F">
      <w:r>
        <w:t>COUNTY OF SUFFOLK</w:t>
      </w:r>
    </w:p>
    <w:p w:rsidR="00486C2F" w:rsidRDefault="00486C2F" w:rsidP="00486C2F"/>
    <w:tbl>
      <w:tblPr>
        <w:tblStyle w:val="TableGrid"/>
        <w:tblW w:w="0" w:type="auto"/>
        <w:tblLook w:val="04A0" w:firstRow="1" w:lastRow="0" w:firstColumn="1" w:lastColumn="0" w:noHBand="0" w:noVBand="1"/>
      </w:tblPr>
      <w:tblGrid>
        <w:gridCol w:w="5575"/>
        <w:gridCol w:w="3775"/>
      </w:tblGrid>
      <w:tr w:rsidR="00202297" w:rsidTr="00486C2F">
        <w:trPr>
          <w:trHeight w:val="3482"/>
        </w:trPr>
        <w:tc>
          <w:tcPr>
            <w:tcW w:w="5575" w:type="dxa"/>
            <w:tcBorders>
              <w:left w:val="nil"/>
            </w:tcBorders>
          </w:tcPr>
          <w:p w:rsidR="00486C2F" w:rsidRDefault="00486C2F" w:rsidP="00202297">
            <w:pPr>
              <w:spacing w:line="320" w:lineRule="auto"/>
            </w:pPr>
          </w:p>
          <w:p w:rsidR="00202297" w:rsidRDefault="00202297" w:rsidP="00202297">
            <w:pPr>
              <w:spacing w:line="320" w:lineRule="auto"/>
            </w:pPr>
            <w:r>
              <w:t>DIANE C. DESOUSA and DIANE C. DESOUSA AS</w:t>
            </w:r>
          </w:p>
          <w:p w:rsidR="00202297" w:rsidRDefault="00202297" w:rsidP="00202297">
            <w:pPr>
              <w:spacing w:line="320" w:lineRule="auto"/>
            </w:pPr>
            <w:r>
              <w:t>EXECUTOR OF THE ESTATE OF THOMAS E. DESOUSA,</w:t>
            </w:r>
          </w:p>
          <w:p w:rsidR="00202297" w:rsidRDefault="00202297" w:rsidP="00202297">
            <w:pPr>
              <w:spacing w:line="320" w:lineRule="auto"/>
            </w:pPr>
            <w:r>
              <w:t xml:space="preserve">                                      Plaintiffs,</w:t>
            </w:r>
          </w:p>
          <w:p w:rsidR="00202297" w:rsidRDefault="00202297" w:rsidP="00202297">
            <w:pPr>
              <w:spacing w:line="320" w:lineRule="auto"/>
            </w:pPr>
            <w:r>
              <w:t xml:space="preserve">                -against-</w:t>
            </w:r>
          </w:p>
          <w:p w:rsidR="00202297" w:rsidRDefault="00202297" w:rsidP="00202297">
            <w:pPr>
              <w:spacing w:line="320" w:lineRule="auto"/>
            </w:pPr>
            <w:r>
              <w:t xml:space="preserve">RICHARD A. CALVAGNO II and PATRICK J. </w:t>
            </w:r>
            <w:proofErr w:type="spellStart"/>
            <w:r>
              <w:t>KARCHER</w:t>
            </w:r>
            <w:proofErr w:type="spellEnd"/>
            <w:r>
              <w:t>,</w:t>
            </w:r>
          </w:p>
          <w:p w:rsidR="00202297" w:rsidRDefault="00202297" w:rsidP="00202297">
            <w:pPr>
              <w:spacing w:line="320" w:lineRule="auto"/>
            </w:pPr>
            <w:r>
              <w:t xml:space="preserve">                                      Defendants.</w:t>
            </w:r>
          </w:p>
          <w:p w:rsidR="00202297" w:rsidRDefault="00202297">
            <w:pPr>
              <w:spacing w:line="320" w:lineRule="auto"/>
              <w:jc w:val="center"/>
            </w:pPr>
          </w:p>
        </w:tc>
        <w:tc>
          <w:tcPr>
            <w:tcW w:w="3775" w:type="dxa"/>
          </w:tcPr>
          <w:p w:rsidR="00486C2F" w:rsidRDefault="00486C2F" w:rsidP="00A50DC0">
            <w:pPr>
              <w:spacing w:line="320" w:lineRule="auto"/>
              <w:jc w:val="center"/>
              <w:rPr>
                <w:b/>
                <w:bCs/>
              </w:rPr>
            </w:pPr>
          </w:p>
          <w:p w:rsidR="00202297" w:rsidRDefault="00202297" w:rsidP="00A50DC0">
            <w:pPr>
              <w:spacing w:line="320" w:lineRule="auto"/>
              <w:jc w:val="center"/>
            </w:pPr>
            <w:r>
              <w:rPr>
                <w:b/>
                <w:bCs/>
              </w:rPr>
              <w:t>Index No. 600371/2021</w:t>
            </w:r>
          </w:p>
          <w:p w:rsidR="00A50DC0" w:rsidRDefault="00A50DC0" w:rsidP="00A50DC0">
            <w:pPr>
              <w:spacing w:line="320" w:lineRule="auto"/>
              <w:jc w:val="center"/>
              <w:rPr>
                <w:b/>
                <w:bCs/>
              </w:rPr>
            </w:pPr>
          </w:p>
          <w:p w:rsidR="00202297" w:rsidRDefault="00202297" w:rsidP="00A50DC0">
            <w:pPr>
              <w:spacing w:line="320" w:lineRule="auto"/>
              <w:jc w:val="center"/>
            </w:pPr>
            <w:r>
              <w:rPr>
                <w:b/>
                <w:bCs/>
              </w:rPr>
              <w:t>REPLY AFFIRMATION IN FURTHER SUPPORT OF</w:t>
            </w:r>
          </w:p>
          <w:p w:rsidR="00202297" w:rsidRDefault="00202297" w:rsidP="00A50DC0">
            <w:pPr>
              <w:spacing w:line="320" w:lineRule="auto"/>
              <w:jc w:val="center"/>
            </w:pPr>
            <w:r>
              <w:rPr>
                <w:b/>
                <w:bCs/>
              </w:rPr>
              <w:t>PLAINTIFFS’ MOTION FOR SUMMARY JUDGMENT</w:t>
            </w:r>
          </w:p>
          <w:p w:rsidR="00A50DC0" w:rsidRDefault="00A50DC0">
            <w:pPr>
              <w:spacing w:line="320" w:lineRule="auto"/>
              <w:jc w:val="center"/>
            </w:pPr>
          </w:p>
          <w:p w:rsidR="00A50DC0" w:rsidRDefault="00A50DC0">
            <w:pPr>
              <w:spacing w:line="320" w:lineRule="auto"/>
              <w:jc w:val="center"/>
            </w:pPr>
            <w:r>
              <w:t>Motion Seq.  No 7</w:t>
            </w:r>
          </w:p>
        </w:tc>
      </w:tr>
    </w:tbl>
    <w:p w:rsidR="003123E8" w:rsidRDefault="003123E8">
      <w:pPr>
        <w:spacing w:after="160" w:line="480" w:lineRule="auto"/>
        <w:jc w:val="both"/>
      </w:pPr>
    </w:p>
    <w:p w:rsidR="00780DE1" w:rsidRDefault="00E50B82">
      <w:pPr>
        <w:spacing w:after="160" w:line="480" w:lineRule="auto"/>
        <w:jc w:val="both"/>
      </w:pPr>
      <w:r>
        <w:t>John N. Cuomo, an attorney duly licensed to practice law in the State of New York, affirms under penalties of perjury as fol</w:t>
      </w:r>
      <w:r>
        <w:t>lows:</w:t>
      </w:r>
    </w:p>
    <w:p w:rsidR="00780DE1" w:rsidRDefault="00E50B82" w:rsidP="003123E8">
      <w:pPr>
        <w:pStyle w:val="ListParagraph"/>
        <w:numPr>
          <w:ilvl w:val="0"/>
          <w:numId w:val="3"/>
        </w:numPr>
        <w:spacing w:after="160" w:line="480" w:lineRule="auto"/>
        <w:jc w:val="both"/>
      </w:pPr>
      <w:r>
        <w:t>I represent Plaintiffs Diane C. DeSousa (“Mrs. DeSousa”) and Diane C. DeSousa as Executor of the Estate of Thomas E. DeSousa (collectively “Plaintiffs”) in the above-entitled action. I am fully familiar with the facts and circumstances of this cas</w:t>
      </w:r>
      <w:r>
        <w:t xml:space="preserve">e and submit this Reply Affirmation in support of Plaintiffs’ motion for an Order: (1) dismissing defendant Richard A. Calvagno </w:t>
      </w:r>
      <w:proofErr w:type="spellStart"/>
      <w:r>
        <w:t>II’s</w:t>
      </w:r>
      <w:proofErr w:type="spellEnd"/>
      <w:r>
        <w:t xml:space="preserve"> (“Calvagno”) First through Fifth Counterclaims and awarding attorney’s fees as a sanction for committing fraud upon the Cou</w:t>
      </w:r>
      <w:r>
        <w:t>rt; or alternatively, (2) granting summary judgment pursuant to CPLR §3212(b) dismissing all Counterclaims in their entirety; and (3) such other and further relief as this Court deems just and proper.</w:t>
      </w:r>
    </w:p>
    <w:p w:rsidR="00780DE1" w:rsidRDefault="00E50B82" w:rsidP="003123E8">
      <w:pPr>
        <w:pStyle w:val="ListParagraph"/>
        <w:numPr>
          <w:ilvl w:val="0"/>
          <w:numId w:val="3"/>
        </w:numPr>
        <w:spacing w:after="160" w:line="480" w:lineRule="auto"/>
        <w:jc w:val="both"/>
      </w:pPr>
      <w:r>
        <w:t>This motion was originally made in 2024 and dismisse</w:t>
      </w:r>
      <w:r>
        <w:t xml:space="preserve">d without prejudice following the passing of Plaintiff Thomas E. DeSousa and the resulting stay. Upon the appointment of </w:t>
      </w:r>
      <w:r>
        <w:lastRenderedPageBreak/>
        <w:t>Mrs. DeSousa as Executor and the lifting of the stay, this motion is timely renewed. The renewed motion is supported by all prior motio</w:t>
      </w:r>
      <w:r>
        <w:t>n papers and the additional evidence and argument set forth herein.</w:t>
      </w:r>
    </w:p>
    <w:p w:rsidR="00780DE1" w:rsidRDefault="00E50B82" w:rsidP="003123E8">
      <w:pPr>
        <w:pStyle w:val="ListParagraph"/>
        <w:numPr>
          <w:ilvl w:val="0"/>
          <w:numId w:val="3"/>
        </w:numPr>
        <w:spacing w:after="160" w:line="480" w:lineRule="auto"/>
        <w:jc w:val="both"/>
      </w:pPr>
      <w:r>
        <w:t>Calvagno’s opposition papers fail to raise a single triable issue of fact. Riddled with conclusory statements and unnecessary recitations of case law, they provide no admissible evidenc</w:t>
      </w:r>
      <w:r>
        <w:t xml:space="preserve">e to defeat summary judgment. </w:t>
      </w:r>
      <w:r w:rsidRPr="003123E8">
        <w:rPr>
          <w:i/>
          <w:iCs/>
        </w:rPr>
        <w:t>See Zuckerman v. City of New York</w:t>
      </w:r>
      <w:r>
        <w:t>, 49 N.Y.2d 557 (1980). His opposition is predicated entirely on false cries of homophobia, lies, and mis</w:t>
      </w:r>
      <w:r w:rsidR="003123E8">
        <w:t xml:space="preserve">representations of the evidence, </w:t>
      </w:r>
      <w:r>
        <w:t>conduct that reinforces, rather than cures, the fraud he</w:t>
      </w:r>
      <w:r>
        <w:t xml:space="preserve"> has committed upon this Court.</w:t>
      </w:r>
    </w:p>
    <w:p w:rsidR="00780DE1" w:rsidRDefault="00E50B82" w:rsidP="003123E8">
      <w:pPr>
        <w:pStyle w:val="ListParagraph"/>
        <w:spacing w:before="240" w:after="160" w:line="480" w:lineRule="auto"/>
        <w:ind w:left="720"/>
        <w:jc w:val="center"/>
      </w:pPr>
      <w:r w:rsidRPr="003123E8">
        <w:rPr>
          <w:b/>
          <w:bCs/>
          <w:u w:val="single"/>
        </w:rPr>
        <w:t>ARGUMENT</w:t>
      </w:r>
    </w:p>
    <w:p w:rsidR="00780DE1" w:rsidRPr="00486C2F" w:rsidRDefault="00E50B82" w:rsidP="003123E8">
      <w:pPr>
        <w:pStyle w:val="ListParagraph"/>
        <w:ind w:left="720"/>
        <w:jc w:val="center"/>
        <w:rPr>
          <w:b/>
          <w:bCs/>
        </w:rPr>
      </w:pPr>
      <w:r w:rsidRPr="00486C2F">
        <w:rPr>
          <w:b/>
          <w:bCs/>
        </w:rPr>
        <w:t>CALVAGNO’S AFFIDAVIT CONCLUSIVELY ESTABLISHES HE COMMITTED A FRAUD UPON THIS COURT WARRANTING DISMISSAL AND ENTRY OF JUDGMENT IN PLAINTIFFS’ FAVOR</w:t>
      </w:r>
    </w:p>
    <w:p w:rsidR="00486C2F" w:rsidRPr="00486C2F" w:rsidRDefault="00486C2F" w:rsidP="003123E8">
      <w:pPr>
        <w:pStyle w:val="ListParagraph"/>
        <w:ind w:left="720"/>
      </w:pPr>
    </w:p>
    <w:p w:rsidR="00780DE1" w:rsidRDefault="00E50B82" w:rsidP="003123E8">
      <w:pPr>
        <w:pStyle w:val="ListParagraph"/>
        <w:numPr>
          <w:ilvl w:val="0"/>
          <w:numId w:val="3"/>
        </w:numPr>
        <w:spacing w:after="160" w:line="480" w:lineRule="auto"/>
        <w:jc w:val="both"/>
      </w:pPr>
      <w:r>
        <w:t>“[W]hen a party lies to the court and its adversary intentiona</w:t>
      </w:r>
      <w:r>
        <w:t xml:space="preserve">lly, repeatedly, and about issues central to the truth-finding process, it can fairly be said that the party has forfeited the right to have the claim decided on the merits.” </w:t>
      </w:r>
      <w:proofErr w:type="spellStart"/>
      <w:r w:rsidRPr="003123E8">
        <w:rPr>
          <w:i/>
          <w:iCs/>
        </w:rPr>
        <w:t>CDR</w:t>
      </w:r>
      <w:proofErr w:type="spellEnd"/>
      <w:r w:rsidRPr="003123E8">
        <w:rPr>
          <w:i/>
          <w:iCs/>
        </w:rPr>
        <w:t xml:space="preserve"> </w:t>
      </w:r>
      <w:proofErr w:type="spellStart"/>
      <w:r w:rsidRPr="003123E8">
        <w:rPr>
          <w:i/>
          <w:iCs/>
        </w:rPr>
        <w:t>Créances</w:t>
      </w:r>
      <w:proofErr w:type="spellEnd"/>
      <w:r w:rsidRPr="003123E8">
        <w:rPr>
          <w:i/>
          <w:iCs/>
        </w:rPr>
        <w:t xml:space="preserve"> S.A.S. v. Cohen</w:t>
      </w:r>
      <w:r>
        <w:t>, 23 N.Y.3d 307, 321 (2014). Once clear and convincin</w:t>
      </w:r>
      <w:r>
        <w:t>g evidence establishes fraud on the court, the court may strike a pleading and enter default judgment. Id.</w:t>
      </w:r>
    </w:p>
    <w:p w:rsidR="00780DE1" w:rsidRDefault="00E50B82" w:rsidP="003123E8">
      <w:pPr>
        <w:pStyle w:val="ListParagraph"/>
        <w:numPr>
          <w:ilvl w:val="0"/>
          <w:numId w:val="3"/>
        </w:numPr>
        <w:spacing w:after="160" w:line="480" w:lineRule="auto"/>
        <w:jc w:val="both"/>
      </w:pPr>
      <w:r>
        <w:t>C</w:t>
      </w:r>
      <w:r>
        <w:t>alvagno lied under oath when he verified his Counterclaims on January 26, 2021—just nineteen days after the Complaint was filed—attesting to the existence of facts that, by his own words, had not yet occurred. Those Counterclaims alleged Plaintiffs were “</w:t>
      </w:r>
      <w:r>
        <w:t xml:space="preserve">morally offended” by his homosexuality, had slandered him with slurs including “faggot” and “homo,” followed him to his workplace, threatened his employment, and harassed him </w:t>
      </w:r>
      <w:r>
        <w:lastRenderedPageBreak/>
        <w:t xml:space="preserve">outside his home. It is simply not possible that all of this conduct accumulated </w:t>
      </w:r>
      <w:r>
        <w:t>in nineteen days. When deposed on August 1, 2023, Calvagno confirmed the fraud:</w:t>
      </w:r>
    </w:p>
    <w:p w:rsidR="00780DE1" w:rsidRDefault="00E50B82" w:rsidP="003123E8">
      <w:pPr>
        <w:pStyle w:val="ListParagraph"/>
        <w:numPr>
          <w:ilvl w:val="1"/>
          <w:numId w:val="3"/>
        </w:numPr>
        <w:spacing w:line="480" w:lineRule="auto"/>
        <w:ind w:right="720"/>
        <w:jc w:val="both"/>
      </w:pPr>
      <w:r>
        <w:t>Q: Prior to the lawsuit or after the lawsuit?</w:t>
      </w:r>
    </w:p>
    <w:p w:rsidR="00780DE1" w:rsidRDefault="00E50B82" w:rsidP="003123E8">
      <w:pPr>
        <w:pStyle w:val="ListParagraph"/>
        <w:numPr>
          <w:ilvl w:val="1"/>
          <w:numId w:val="3"/>
        </w:numPr>
        <w:spacing w:line="480" w:lineRule="auto"/>
        <w:ind w:right="720"/>
        <w:jc w:val="both"/>
      </w:pPr>
      <w:r>
        <w:t>Calvagno: Everything was after the lawsuit. Prior to me being served the papers we never had any negative interactions. Any questi</w:t>
      </w:r>
      <w:r>
        <w:t>ons were after this lawsuit. (Tr. 167.)</w:t>
      </w:r>
    </w:p>
    <w:p w:rsidR="00780DE1" w:rsidRDefault="00E50B82" w:rsidP="003123E8">
      <w:pPr>
        <w:pStyle w:val="ListParagraph"/>
        <w:numPr>
          <w:ilvl w:val="1"/>
          <w:numId w:val="3"/>
        </w:numPr>
        <w:spacing w:line="480" w:lineRule="auto"/>
        <w:ind w:right="720"/>
        <w:jc w:val="both"/>
      </w:pPr>
      <w:r>
        <w:t>Q: The slurs that you claim Mr. DeSousa used with you in the street, sitting here today, you said it was two or three years ago?</w:t>
      </w:r>
    </w:p>
    <w:p w:rsidR="00780DE1" w:rsidRDefault="00E50B82" w:rsidP="003123E8">
      <w:pPr>
        <w:pStyle w:val="ListParagraph"/>
        <w:numPr>
          <w:ilvl w:val="1"/>
          <w:numId w:val="3"/>
        </w:numPr>
        <w:spacing w:line="480" w:lineRule="auto"/>
        <w:ind w:right="720"/>
        <w:jc w:val="both"/>
      </w:pPr>
      <w:r>
        <w:t>Calvagno: Yes.</w:t>
      </w:r>
    </w:p>
    <w:p w:rsidR="00780DE1" w:rsidRDefault="00E50B82" w:rsidP="003123E8">
      <w:pPr>
        <w:pStyle w:val="ListParagraph"/>
        <w:numPr>
          <w:ilvl w:val="1"/>
          <w:numId w:val="3"/>
        </w:numPr>
        <w:spacing w:line="480" w:lineRule="auto"/>
        <w:ind w:right="720"/>
        <w:jc w:val="both"/>
      </w:pPr>
      <w:r>
        <w:t>Q: It would be 2020, 2021?</w:t>
      </w:r>
    </w:p>
    <w:p w:rsidR="00780DE1" w:rsidRDefault="00E50B82" w:rsidP="003123E8">
      <w:pPr>
        <w:pStyle w:val="ListParagraph"/>
        <w:numPr>
          <w:ilvl w:val="1"/>
          <w:numId w:val="3"/>
        </w:numPr>
        <w:spacing w:line="480" w:lineRule="auto"/>
        <w:ind w:right="720"/>
        <w:jc w:val="both"/>
      </w:pPr>
      <w:r>
        <w:t>Calvagno: When did the lawsuit start? How ab</w:t>
      </w:r>
      <w:r>
        <w:t>out that?</w:t>
      </w:r>
    </w:p>
    <w:p w:rsidR="00780DE1" w:rsidRDefault="00E50B82" w:rsidP="003123E8">
      <w:pPr>
        <w:pStyle w:val="ListParagraph"/>
        <w:numPr>
          <w:ilvl w:val="1"/>
          <w:numId w:val="3"/>
        </w:numPr>
        <w:spacing w:line="480" w:lineRule="auto"/>
        <w:ind w:right="720"/>
        <w:jc w:val="both"/>
      </w:pPr>
      <w:r>
        <w:t>Q: The lawsuit started in 2021.</w:t>
      </w:r>
    </w:p>
    <w:p w:rsidR="00780DE1" w:rsidRDefault="00E50B82" w:rsidP="003123E8">
      <w:pPr>
        <w:pStyle w:val="ListParagraph"/>
        <w:numPr>
          <w:ilvl w:val="1"/>
          <w:numId w:val="3"/>
        </w:numPr>
        <w:spacing w:line="480" w:lineRule="auto"/>
        <w:ind w:right="720"/>
        <w:jc w:val="both"/>
      </w:pPr>
      <w:r>
        <w:t>Calvagno: After the lawsuit started. (Tr. 157.)</w:t>
      </w:r>
    </w:p>
    <w:p w:rsidR="00780DE1" w:rsidRDefault="00780DE1"/>
    <w:p w:rsidR="00780DE1" w:rsidRDefault="00E50B82" w:rsidP="003123E8">
      <w:pPr>
        <w:pStyle w:val="ListParagraph"/>
        <w:numPr>
          <w:ilvl w:val="0"/>
          <w:numId w:val="3"/>
        </w:numPr>
        <w:spacing w:after="160" w:line="480" w:lineRule="auto"/>
        <w:jc w:val="both"/>
      </w:pPr>
      <w:r>
        <w:t>Calvagno was directly and repeatedly asked when the incidents occurred. His counsel did not object and Calvagno did not seek clarification. His answer was unambig</w:t>
      </w:r>
      <w:r>
        <w:t>uous. The pre-lawsuit police report Calvagno himself filed on November 4, 2020 contains no mention of slurs, discrimination, or homophobia—confirming none had occurred.</w:t>
      </w:r>
    </w:p>
    <w:p w:rsidR="00780DE1" w:rsidRDefault="00E50B82" w:rsidP="003123E8">
      <w:pPr>
        <w:pStyle w:val="ListParagraph"/>
        <w:numPr>
          <w:ilvl w:val="0"/>
          <w:numId w:val="3"/>
        </w:numPr>
        <w:spacing w:after="160" w:line="480" w:lineRule="auto"/>
        <w:jc w:val="both"/>
      </w:pPr>
      <w:r>
        <w:t xml:space="preserve">After his perjury was exposed, Calvagno fabricated new facts to conceal his earlier </w:t>
      </w:r>
      <w:r>
        <w:t>lies, claiming he was “confused” about which “papers” commenced the action and believed it began when police visited his home</w:t>
      </w:r>
      <w:r w:rsidRPr="00E50B82">
        <w:t xml:space="preserve">. </w:t>
      </w:r>
      <w:r w:rsidRPr="00E50B82">
        <w:rPr>
          <w:bCs/>
        </w:rPr>
        <w:t>This explanation is not credible</w:t>
      </w:r>
      <w:r w:rsidRPr="003123E8">
        <w:rPr>
          <w:b/>
          <w:bCs/>
        </w:rPr>
        <w:t>.</w:t>
      </w:r>
      <w:r>
        <w:t xml:space="preserve"> He cannot identify the date he received such papers, identify the “local officials” who provide</w:t>
      </w:r>
      <w:r>
        <w:t xml:space="preserve">d them, or attach a single corroborating document. In fact, the earliest police report Mr. DeSousa filed was </w:t>
      </w:r>
      <w:bookmarkStart w:id="0" w:name="_GoBack"/>
      <w:bookmarkEnd w:id="0"/>
      <w:r>
        <w:lastRenderedPageBreak/>
        <w:t>dated May 26, 2021—after the lawsuit (NYSCEF#68). The most likely source of the “papers” Calvagno claims he received is the process server who serv</w:t>
      </w:r>
      <w:r>
        <w:t>ed him with Plaintiffs’ Complaint.</w:t>
      </w:r>
    </w:p>
    <w:p w:rsidR="00780DE1" w:rsidRDefault="00E50B82" w:rsidP="003123E8">
      <w:pPr>
        <w:pStyle w:val="ListParagraph"/>
        <w:numPr>
          <w:ilvl w:val="0"/>
          <w:numId w:val="3"/>
        </w:numPr>
        <w:spacing w:after="160" w:line="480" w:lineRule="auto"/>
        <w:jc w:val="both"/>
      </w:pPr>
      <w:r>
        <w:t xml:space="preserve">Most critically, Calvagno’s personal affirmation directly contradicts his own sworn deposition testimony, confirming rather than curing the fraud. At deposition he testified he could not recall the date of the alleged </w:t>
      </w:r>
      <w:r>
        <w:t xml:space="preserve">“stupid faggot” slur (Tr. 146) and that all incidents occurred after the lawsuit (Tr. 167). His affirmation now claims that same incident occurred in “2020, before the 2021 commencement.” This is not a clarification—it is an irreconcilable contradiction. </w:t>
      </w:r>
      <w:r w:rsidRPr="003123E8">
        <w:rPr>
          <w:b/>
          <w:bCs/>
        </w:rPr>
        <w:t>A</w:t>
      </w:r>
      <w:r w:rsidRPr="003123E8">
        <w:rPr>
          <w:b/>
          <w:bCs/>
        </w:rPr>
        <w:t xml:space="preserve"> party cannot defeat summary judgment by submitting an affidavit that contradicts prior sworn deposition testimony. </w:t>
      </w:r>
      <w:proofErr w:type="spellStart"/>
      <w:r w:rsidRPr="003123E8">
        <w:rPr>
          <w:b/>
          <w:bCs/>
          <w:i/>
          <w:iCs/>
        </w:rPr>
        <w:t>Harty</w:t>
      </w:r>
      <w:proofErr w:type="spellEnd"/>
      <w:r w:rsidRPr="003123E8">
        <w:rPr>
          <w:b/>
          <w:bCs/>
          <w:i/>
          <w:iCs/>
        </w:rPr>
        <w:t xml:space="preserve"> v. </w:t>
      </w:r>
      <w:proofErr w:type="spellStart"/>
      <w:r w:rsidRPr="003123E8">
        <w:rPr>
          <w:b/>
          <w:bCs/>
          <w:i/>
          <w:iCs/>
        </w:rPr>
        <w:t>Lenci</w:t>
      </w:r>
      <w:proofErr w:type="spellEnd"/>
      <w:r w:rsidRPr="003123E8">
        <w:rPr>
          <w:b/>
          <w:bCs/>
        </w:rPr>
        <w:t xml:space="preserve">, 294 A.D.2d 296, 742 N.Y.S.2d 97 (2d Dep’t 2002); </w:t>
      </w:r>
      <w:proofErr w:type="spellStart"/>
      <w:r w:rsidRPr="003123E8">
        <w:rPr>
          <w:b/>
          <w:bCs/>
          <w:i/>
          <w:iCs/>
        </w:rPr>
        <w:t>Toth</w:t>
      </w:r>
      <w:proofErr w:type="spellEnd"/>
      <w:r w:rsidRPr="003123E8">
        <w:rPr>
          <w:b/>
          <w:bCs/>
          <w:i/>
          <w:iCs/>
        </w:rPr>
        <w:t xml:space="preserve"> v. </w:t>
      </w:r>
      <w:proofErr w:type="spellStart"/>
      <w:r w:rsidRPr="003123E8">
        <w:rPr>
          <w:b/>
          <w:bCs/>
          <w:i/>
          <w:iCs/>
        </w:rPr>
        <w:t>Tosev</w:t>
      </w:r>
      <w:proofErr w:type="spellEnd"/>
      <w:r w:rsidRPr="003123E8">
        <w:rPr>
          <w:b/>
          <w:bCs/>
        </w:rPr>
        <w:t>, 246 A.D.2d 452, 668 N.Y.S.2d 52 (2d Dep’t 1998).</w:t>
      </w:r>
    </w:p>
    <w:p w:rsidR="00780DE1" w:rsidRDefault="00E50B82" w:rsidP="003123E8">
      <w:pPr>
        <w:pStyle w:val="ListParagraph"/>
        <w:numPr>
          <w:ilvl w:val="0"/>
          <w:numId w:val="3"/>
        </w:numPr>
        <w:spacing w:after="160" w:line="480" w:lineRule="auto"/>
        <w:jc w:val="both"/>
      </w:pPr>
      <w:r>
        <w:t>Calvagno also now claims, for the first time, that his parents, live-in boyfriend, and neighbors witnessed Plaintiffs’ slurs—directly contradicting his deposition testimony that there were no witnesses and no video of Mr. DeSousa ever using slurs (Tr. 153-</w:t>
      </w:r>
      <w:r>
        <w:t>154). He produces no affidavits from any of these purported witnesses. The video Calvagno submitted of an altercation between Mr. DeSousa and Calvagno’s own parents is devastating to this claim: at no point do Calvagno’s parents react to or reference any “</w:t>
      </w:r>
      <w:r>
        <w:t>hate-filled” statements. If such statements had been made routinely, his parents would have addressed them on video.</w:t>
      </w:r>
    </w:p>
    <w:p w:rsidR="00780DE1" w:rsidRDefault="00E50B82" w:rsidP="003123E8">
      <w:pPr>
        <w:pStyle w:val="ListParagraph"/>
        <w:numPr>
          <w:ilvl w:val="0"/>
          <w:numId w:val="3"/>
        </w:numPr>
        <w:spacing w:after="160" w:line="480" w:lineRule="auto"/>
        <w:jc w:val="both"/>
      </w:pPr>
      <w:r>
        <w:t xml:space="preserve">Defense counsel points to the deposition testimony of third-party witness Vincent </w:t>
      </w:r>
      <w:proofErr w:type="spellStart"/>
      <w:r>
        <w:t>Camarda</w:t>
      </w:r>
      <w:proofErr w:type="spellEnd"/>
      <w:r>
        <w:t xml:space="preserve"> as corroboration. </w:t>
      </w:r>
      <w:r w:rsidRPr="003123E8">
        <w:rPr>
          <w:b/>
          <w:bCs/>
        </w:rPr>
        <w:t>This argument must be rejec</w:t>
      </w:r>
      <w:r w:rsidRPr="003123E8">
        <w:rPr>
          <w:b/>
          <w:bCs/>
        </w:rPr>
        <w:t>ted.</w:t>
      </w:r>
      <w:r>
        <w:t xml:space="preserve"> </w:t>
      </w:r>
      <w:proofErr w:type="spellStart"/>
      <w:r>
        <w:t>Camarda</w:t>
      </w:r>
      <w:proofErr w:type="spellEnd"/>
      <w:r>
        <w:t xml:space="preserve"> testified he had “no idea” why Calvagno named him as a witness (NYSCEF#46 at 41-42) and had no knowledge of </w:t>
      </w:r>
      <w:r>
        <w:lastRenderedPageBreak/>
        <w:t xml:space="preserve">any purported slurs or interactions between Plaintiffs and Calvagno. Furthermore, </w:t>
      </w:r>
      <w:proofErr w:type="spellStart"/>
      <w:r w:rsidRPr="003123E8">
        <w:rPr>
          <w:b/>
          <w:bCs/>
        </w:rPr>
        <w:t>Camarda</w:t>
      </w:r>
      <w:proofErr w:type="spellEnd"/>
      <w:r w:rsidRPr="003123E8">
        <w:rPr>
          <w:b/>
          <w:bCs/>
        </w:rPr>
        <w:t xml:space="preserve"> has since pleaded guilty in the Eastern Distr</w:t>
      </w:r>
      <w:r w:rsidRPr="003123E8">
        <w:rPr>
          <w:b/>
          <w:bCs/>
        </w:rPr>
        <w:t>ict of New York to participating in a $160 million investment fraud, admitting under oath to serious and pervasive dishonesty.</w:t>
      </w:r>
      <w:r>
        <w:t xml:space="preserve"> His credibility as a corroborating witness is entirely destroyed. A convicted federal fraudster cannot provide the “admissible ev</w:t>
      </w:r>
      <w:r>
        <w:t xml:space="preserve">idence” required to defeat summary judgment. </w:t>
      </w:r>
      <w:r w:rsidRPr="003123E8">
        <w:rPr>
          <w:i/>
          <w:iCs/>
        </w:rPr>
        <w:t>Zuckerman</w:t>
      </w:r>
      <w:r>
        <w:t>, 49 N.Y.2d at 562.</w:t>
      </w:r>
    </w:p>
    <w:p w:rsidR="00780DE1" w:rsidRDefault="00E50B82" w:rsidP="003123E8">
      <w:pPr>
        <w:pStyle w:val="ListParagraph"/>
        <w:numPr>
          <w:ilvl w:val="0"/>
          <w:numId w:val="3"/>
        </w:numPr>
        <w:spacing w:after="160" w:line="480" w:lineRule="auto"/>
        <w:jc w:val="both"/>
      </w:pPr>
      <w:r>
        <w:t xml:space="preserve">Calvagno’s </w:t>
      </w:r>
      <w:proofErr w:type="spellStart"/>
      <w:r>
        <w:t>perjurious</w:t>
      </w:r>
      <w:proofErr w:type="spellEnd"/>
      <w:r>
        <w:t xml:space="preserve"> conduct was not inadvertent or isolated. He intentionally made false allegations in his verified pleadings at least eight separate times, fabricated new fac</w:t>
      </w:r>
      <w:r>
        <w:t>ts during discovery, submitted a letter from Westbury Jeep certifying his vehicle had been inspected (NYSCEF#44) that was exposed as a fraud when the Service Director testified he “did not know” if the car was ever inspected and there was no inspection rec</w:t>
      </w:r>
      <w:r>
        <w:t>ord (NYSCEF#45 at 13-17), and is now revising his deposition testimony in a sworn affirmation. This Court should strike Calvagno’s pleadings and enter default judgment in Plaintiffs’ favor.</w:t>
      </w:r>
    </w:p>
    <w:p w:rsidR="00780DE1" w:rsidRDefault="00E50B82" w:rsidP="003123E8">
      <w:pPr>
        <w:pStyle w:val="ListParagraph"/>
        <w:spacing w:before="240" w:after="80" w:line="480" w:lineRule="auto"/>
        <w:ind w:left="720"/>
      </w:pPr>
      <w:r w:rsidRPr="003123E8">
        <w:rPr>
          <w:b/>
          <w:bCs/>
          <w:u w:val="single"/>
        </w:rPr>
        <w:t>II. DEFENDANT’S PROCEDURAL OBJECTIONS ARE MERITLESS</w:t>
      </w:r>
    </w:p>
    <w:p w:rsidR="00780DE1" w:rsidRDefault="00E50B82" w:rsidP="003123E8">
      <w:pPr>
        <w:pStyle w:val="ListParagraph"/>
        <w:numPr>
          <w:ilvl w:val="2"/>
          <w:numId w:val="3"/>
        </w:numPr>
        <w:spacing w:before="160" w:after="80" w:line="480" w:lineRule="auto"/>
      </w:pPr>
      <w:r w:rsidRPr="003123E8">
        <w:rPr>
          <w:b/>
          <w:bCs/>
        </w:rPr>
        <w:t xml:space="preserve">Failure to </w:t>
      </w:r>
      <w:r w:rsidRPr="003123E8">
        <w:rPr>
          <w:b/>
          <w:bCs/>
        </w:rPr>
        <w:t>Annex Pleadings</w:t>
      </w:r>
    </w:p>
    <w:p w:rsidR="00780DE1" w:rsidRDefault="00E50B82" w:rsidP="003123E8">
      <w:pPr>
        <w:pStyle w:val="ListParagraph"/>
        <w:numPr>
          <w:ilvl w:val="0"/>
          <w:numId w:val="3"/>
        </w:numPr>
        <w:spacing w:after="160" w:line="480" w:lineRule="auto"/>
        <w:jc w:val="both"/>
      </w:pPr>
      <w:r>
        <w:t>Calvagno argues Plaintiffs failed to annex the Counterclaims in violation of CPLR §3212(b). CPLR §2214(c) expressly provides that in an e-filed action, a party “need not include copies of papers that were filed previously electronically</w:t>
      </w:r>
      <w:r>
        <w:t xml:space="preserve"> with the court, but may make reference to them, giving the docket numbers on the e-filing system.” Plaintiffs’ papers referenced the Answer with Counterclaims at NYSCEF#4, in full compliance with this rule. In any event, Calvagno suffered zero prejudice: </w:t>
      </w:r>
      <w:r>
        <w:t xml:space="preserve">he filed a detailed personal </w:t>
      </w:r>
      <w:r>
        <w:lastRenderedPageBreak/>
        <w:t xml:space="preserve">affirmation and a seventeen-page attorney affirmation addressing the substance of each counterclaim. Any technical omission must be disregarded where no substantial right is prejudiced. CPLR §3026; </w:t>
      </w:r>
      <w:r w:rsidRPr="003123E8">
        <w:rPr>
          <w:i/>
          <w:iCs/>
        </w:rPr>
        <w:t>Uniform Firefighters of Cohoe</w:t>
      </w:r>
      <w:r w:rsidRPr="003123E8">
        <w:rPr>
          <w:i/>
          <w:iCs/>
        </w:rPr>
        <w:t>s v. City of Cohoes</w:t>
      </w:r>
      <w:r>
        <w:t>, 94 A.D.2d 914, 463 N.Y.S.2d 512 (3d Dep’t 1983).</w:t>
      </w:r>
    </w:p>
    <w:p w:rsidR="00780DE1" w:rsidRDefault="00E50B82" w:rsidP="003123E8">
      <w:pPr>
        <w:pStyle w:val="ListParagraph"/>
        <w:spacing w:before="160" w:after="80" w:line="480" w:lineRule="auto"/>
        <w:ind w:left="720"/>
      </w:pPr>
      <w:r w:rsidRPr="003123E8">
        <w:rPr>
          <w:b/>
          <w:bCs/>
        </w:rPr>
        <w:t>B. Attorney Affirmation Lacking Personal Knowledge</w:t>
      </w:r>
    </w:p>
    <w:p w:rsidR="00780DE1" w:rsidRDefault="00E50B82" w:rsidP="003123E8">
      <w:pPr>
        <w:pStyle w:val="ListParagraph"/>
        <w:numPr>
          <w:ilvl w:val="0"/>
          <w:numId w:val="3"/>
        </w:numPr>
        <w:spacing w:after="160" w:line="480" w:lineRule="auto"/>
        <w:jc w:val="both"/>
      </w:pPr>
      <w:r>
        <w:t xml:space="preserve">Calvagno argues Plaintiffs’ attorney affirmation is “void of probative value” citing </w:t>
      </w:r>
      <w:r w:rsidRPr="003123E8">
        <w:rPr>
          <w:i/>
          <w:iCs/>
        </w:rPr>
        <w:t>Zuckerman v. City of New York</w:t>
      </w:r>
      <w:r>
        <w:t>, 49 N.Y.2d 557 (</w:t>
      </w:r>
      <w:r>
        <w:t xml:space="preserve">1980). In </w:t>
      </w:r>
      <w:r w:rsidRPr="003123E8">
        <w:rPr>
          <w:i/>
          <w:iCs/>
        </w:rPr>
        <w:t>Zuckerman</w:t>
      </w:r>
      <w:r>
        <w:t>, the Court rejected a “bare attorney affirmation” that contained only speculation, unsupported by any affidavit, eyewitness account, or deposition transcript. That is not this case. Here, Plaintiffs’ motion is supported by: the sworn af</w:t>
      </w:r>
      <w:r>
        <w:t>fidavit of Mrs. DeSousa attesting from personal knowledge; Calvagno’s own deposition transcripts; police reports; photographs; videos; and emails—all admissible proof. An attorney’s affirmation properly organizes and presents evidence already in the record</w:t>
      </w:r>
      <w:r>
        <w:t xml:space="preserve">. </w:t>
      </w:r>
      <w:r w:rsidRPr="003123E8">
        <w:rPr>
          <w:i/>
          <w:iCs/>
        </w:rPr>
        <w:t>Olan v. Farrell Lines Inc.</w:t>
      </w:r>
      <w:r>
        <w:t>, 64 N.Y.2d 1092, 489 N.Y.S.2d 884 (1985).</w:t>
      </w:r>
    </w:p>
    <w:p w:rsidR="00780DE1" w:rsidRDefault="00E50B82" w:rsidP="003123E8">
      <w:pPr>
        <w:pStyle w:val="ListParagraph"/>
        <w:spacing w:before="160" w:after="80" w:line="480" w:lineRule="auto"/>
        <w:ind w:left="720"/>
      </w:pPr>
      <w:r w:rsidRPr="003123E8">
        <w:rPr>
          <w:b/>
          <w:bCs/>
        </w:rPr>
        <w:t>C. Alleged Defect in Complaint ¶4</w:t>
      </w:r>
    </w:p>
    <w:p w:rsidR="00780DE1" w:rsidRDefault="00E50B82" w:rsidP="003123E8">
      <w:pPr>
        <w:pStyle w:val="ListParagraph"/>
        <w:numPr>
          <w:ilvl w:val="0"/>
          <w:numId w:val="3"/>
        </w:numPr>
        <w:spacing w:after="160" w:line="480" w:lineRule="auto"/>
        <w:jc w:val="both"/>
      </w:pPr>
      <w:r>
        <w:t xml:space="preserve">Calvagno again argues the Complaint is “fatally defective” because paragraph 4 allegedly misstates property ownership. This argument is irrelevant </w:t>
      </w:r>
      <w:r>
        <w:t xml:space="preserve">to this motion, which seeks dismissal of </w:t>
      </w:r>
      <w:r w:rsidRPr="003123E8">
        <w:rPr>
          <w:i/>
          <w:iCs/>
        </w:rPr>
        <w:t>Calvagno’s</w:t>
      </w:r>
      <w:r>
        <w:t xml:space="preserve"> counterclaims. The case he relies upon, </w:t>
      </w:r>
      <w:proofErr w:type="spellStart"/>
      <w:r w:rsidRPr="003123E8">
        <w:rPr>
          <w:i/>
          <w:iCs/>
        </w:rPr>
        <w:t>Bischof</w:t>
      </w:r>
      <w:proofErr w:type="spellEnd"/>
      <w:r w:rsidRPr="003123E8">
        <w:rPr>
          <w:i/>
          <w:iCs/>
        </w:rPr>
        <w:t xml:space="preserve"> v. </w:t>
      </w:r>
      <w:proofErr w:type="spellStart"/>
      <w:r w:rsidRPr="003123E8">
        <w:rPr>
          <w:i/>
          <w:iCs/>
        </w:rPr>
        <w:t>Gountas</w:t>
      </w:r>
      <w:proofErr w:type="spellEnd"/>
      <w:r w:rsidRPr="003123E8">
        <w:rPr>
          <w:i/>
          <w:iCs/>
        </w:rPr>
        <w:t>-Ortiz</w:t>
      </w:r>
      <w:r>
        <w:t>, 59 Misc.3d 1225(A) (Sup. Ct. 2018), involved a plaintiff who lacked standing because a nonparty actually owned the subject property—a whol</w:t>
      </w:r>
      <w:r>
        <w:t xml:space="preserve">ly different situation. Here, no one disputes Calvagno owns the premises at issue. Even if any technical error existed in the Complaint, it would be a non-prejudicial scrivener’s error freely correctable under CPLR §2001 at any stage of the action. </w:t>
      </w:r>
      <w:r w:rsidRPr="003123E8">
        <w:rPr>
          <w:i/>
          <w:iCs/>
        </w:rPr>
        <w:t xml:space="preserve">Rosado </w:t>
      </w:r>
      <w:r w:rsidRPr="003123E8">
        <w:rPr>
          <w:i/>
          <w:iCs/>
        </w:rPr>
        <w:t>v. Eveready Ins. Co.</w:t>
      </w:r>
      <w:r>
        <w:t>, 136 A.D.3d 874, 25 N.Y.S.3d 467 (2d Dep’t 2016).</w:t>
      </w:r>
    </w:p>
    <w:p w:rsidR="00780DE1" w:rsidRDefault="00E50B82" w:rsidP="003123E8">
      <w:pPr>
        <w:pStyle w:val="ListParagraph"/>
        <w:spacing w:before="240" w:after="80" w:line="480" w:lineRule="auto"/>
        <w:ind w:left="720"/>
      </w:pPr>
      <w:r w:rsidRPr="003123E8">
        <w:rPr>
          <w:b/>
          <w:bCs/>
          <w:u w:val="single"/>
        </w:rPr>
        <w:lastRenderedPageBreak/>
        <w:t>III. ALTERNATIVELY, SUMMARY JUDGMENT MUST BE GRANTED DISMISSING ALL COUNTERCLAIMS</w:t>
      </w:r>
    </w:p>
    <w:p w:rsidR="00780DE1" w:rsidRDefault="00E50B82" w:rsidP="003123E8">
      <w:pPr>
        <w:pStyle w:val="ListParagraph"/>
        <w:numPr>
          <w:ilvl w:val="2"/>
          <w:numId w:val="3"/>
        </w:numPr>
        <w:spacing w:before="160" w:after="80" w:line="480" w:lineRule="auto"/>
      </w:pPr>
      <w:r w:rsidRPr="003123E8">
        <w:rPr>
          <w:b/>
          <w:bCs/>
        </w:rPr>
        <w:t>First Counterclaim: Abuse of Process</w:t>
      </w:r>
    </w:p>
    <w:p w:rsidR="00780DE1" w:rsidRDefault="00E50B82" w:rsidP="003123E8">
      <w:pPr>
        <w:pStyle w:val="ListParagraph"/>
        <w:numPr>
          <w:ilvl w:val="0"/>
          <w:numId w:val="3"/>
        </w:numPr>
        <w:spacing w:after="160" w:line="480" w:lineRule="auto"/>
        <w:jc w:val="both"/>
      </w:pPr>
      <w:r>
        <w:t xml:space="preserve">“The institution of a civil action by summons and complaint is not legally considered process capable of being abused.” </w:t>
      </w:r>
      <w:proofErr w:type="spellStart"/>
      <w:r w:rsidRPr="003123E8">
        <w:rPr>
          <w:i/>
          <w:iCs/>
        </w:rPr>
        <w:t>Curiano</w:t>
      </w:r>
      <w:proofErr w:type="spellEnd"/>
      <w:r w:rsidRPr="003123E8">
        <w:rPr>
          <w:i/>
          <w:iCs/>
        </w:rPr>
        <w:t xml:space="preserve"> v. </w:t>
      </w:r>
      <w:proofErr w:type="spellStart"/>
      <w:r w:rsidRPr="003123E8">
        <w:rPr>
          <w:i/>
          <w:iCs/>
        </w:rPr>
        <w:t>Suozzi</w:t>
      </w:r>
      <w:proofErr w:type="spellEnd"/>
      <w:r>
        <w:t xml:space="preserve">, 63 N.Y.2d 113, 116 (1984). The “gist” of the tort is the improper use of process </w:t>
      </w:r>
      <w:r w:rsidRPr="003123E8">
        <w:rPr>
          <w:i/>
          <w:iCs/>
        </w:rPr>
        <w:t>after</w:t>
      </w:r>
      <w:r>
        <w:t xml:space="preserve"> it is issued to obtain a colla</w:t>
      </w:r>
      <w:r>
        <w:t xml:space="preserve">teral objective; a malicious motive in </w:t>
      </w:r>
      <w:r w:rsidRPr="003123E8">
        <w:rPr>
          <w:i/>
          <w:iCs/>
        </w:rPr>
        <w:t>bringing</w:t>
      </w:r>
      <w:r>
        <w:t xml:space="preserve"> an action is insufficient. </w:t>
      </w:r>
      <w:r w:rsidRPr="003123E8">
        <w:rPr>
          <w:i/>
          <w:iCs/>
        </w:rPr>
        <w:t>Id.</w:t>
      </w:r>
      <w:r>
        <w:t xml:space="preserve"> Calvagno identifies no regularly issued process that was improperly diverted after issuance. His claim rests entirely on the allegation that Plaintiffs acted maliciously in comm</w:t>
      </w:r>
      <w:r>
        <w:t>encing this action and making complaints to police—neither of which qualifies as abuse of process. He also fails entirely to address the overwhelming evidence justifying this suit: decibel readings, police reports, neighbor complaints, photographs, and vid</w:t>
      </w:r>
      <w:r>
        <w:t xml:space="preserve">eos. </w:t>
      </w:r>
      <w:proofErr w:type="spellStart"/>
      <w:r w:rsidRPr="003123E8">
        <w:rPr>
          <w:i/>
          <w:iCs/>
        </w:rPr>
        <w:t>Liss</w:t>
      </w:r>
      <w:proofErr w:type="spellEnd"/>
      <w:r w:rsidRPr="003123E8">
        <w:rPr>
          <w:i/>
          <w:iCs/>
        </w:rPr>
        <w:t xml:space="preserve"> v. Forte</w:t>
      </w:r>
      <w:r>
        <w:t>, 96 A.D.3d 1592, 947 N.Y.S.2d 270 (4th Dep’t 2012).</w:t>
      </w:r>
    </w:p>
    <w:p w:rsidR="00780DE1" w:rsidRDefault="00E50B82" w:rsidP="003123E8">
      <w:pPr>
        <w:pStyle w:val="ListParagraph"/>
        <w:spacing w:before="160" w:after="80" w:line="480" w:lineRule="auto"/>
        <w:ind w:left="720"/>
      </w:pPr>
      <w:r w:rsidRPr="003123E8">
        <w:rPr>
          <w:b/>
          <w:bCs/>
        </w:rPr>
        <w:t>B. Second Counterclaim: Discrimination/Prima Facie Tort</w:t>
      </w:r>
    </w:p>
    <w:p w:rsidR="00780DE1" w:rsidRDefault="00E50B82" w:rsidP="003123E8">
      <w:pPr>
        <w:pStyle w:val="ListParagraph"/>
        <w:numPr>
          <w:ilvl w:val="0"/>
          <w:numId w:val="3"/>
        </w:numPr>
        <w:spacing w:after="160" w:line="480" w:lineRule="auto"/>
        <w:jc w:val="both"/>
      </w:pPr>
      <w:r>
        <w:t>Calvagno again fails to identify the specific tort alleged, rendering this counterclaim dismissible on pleading grounds alone</w:t>
      </w:r>
      <w:r>
        <w:t xml:space="preserve">. CPLR §3013; §3014. Discrimination is not an actionable tort under New York law. </w:t>
      </w:r>
      <w:r w:rsidRPr="003123E8">
        <w:rPr>
          <w:i/>
          <w:iCs/>
        </w:rPr>
        <w:t xml:space="preserve">Matter of </w:t>
      </w:r>
      <w:proofErr w:type="spellStart"/>
      <w:r w:rsidRPr="003123E8">
        <w:rPr>
          <w:i/>
          <w:iCs/>
        </w:rPr>
        <w:t>Amorosi</w:t>
      </w:r>
      <w:proofErr w:type="spellEnd"/>
      <w:r w:rsidRPr="003123E8">
        <w:rPr>
          <w:i/>
          <w:iCs/>
        </w:rPr>
        <w:t xml:space="preserve"> v. South </w:t>
      </w:r>
      <w:proofErr w:type="spellStart"/>
      <w:r w:rsidRPr="003123E8">
        <w:rPr>
          <w:i/>
          <w:iCs/>
        </w:rPr>
        <w:t>Colonie</w:t>
      </w:r>
      <w:proofErr w:type="spellEnd"/>
      <w:r w:rsidRPr="003123E8">
        <w:rPr>
          <w:i/>
          <w:iCs/>
        </w:rPr>
        <w:t xml:space="preserve"> </w:t>
      </w:r>
      <w:proofErr w:type="spellStart"/>
      <w:r w:rsidRPr="003123E8">
        <w:rPr>
          <w:i/>
          <w:iCs/>
        </w:rPr>
        <w:t>Indep</w:t>
      </w:r>
      <w:proofErr w:type="spellEnd"/>
      <w:r w:rsidRPr="003123E8">
        <w:rPr>
          <w:i/>
          <w:iCs/>
        </w:rPr>
        <w:t>. Cent. Sch. Dist.</w:t>
      </w:r>
      <w:r>
        <w:t>, 9 N.Y.3d 367, 372 (2007). The Human Rights Law provision he cites applies to those who provide housing accommodati</w:t>
      </w:r>
      <w:r>
        <w:t xml:space="preserve">ons—not to neighbor disputes. Even construed as a prima facie tort, Calvagno has neither pleaded nor proven special damages—a mandatory element—nor established that malice was the </w:t>
      </w:r>
      <w:r w:rsidRPr="003123E8">
        <w:rPr>
          <w:i/>
          <w:iCs/>
        </w:rPr>
        <w:t>sole</w:t>
      </w:r>
      <w:r>
        <w:t xml:space="preserve"> motivating factor. His own testimony established the parties had no neg</w:t>
      </w:r>
      <w:r>
        <w:t xml:space="preserve">ative interactions before this lawsuit; the nuisance </w:t>
      </w:r>
      <w:r>
        <w:lastRenderedPageBreak/>
        <w:t xml:space="preserve">evidence demonstrates Plaintiffs had legitimate, non-malicious grounds for suit. </w:t>
      </w:r>
      <w:proofErr w:type="spellStart"/>
      <w:r w:rsidRPr="003123E8">
        <w:rPr>
          <w:i/>
          <w:iCs/>
        </w:rPr>
        <w:t>Freihofer</w:t>
      </w:r>
      <w:proofErr w:type="spellEnd"/>
      <w:r w:rsidRPr="003123E8">
        <w:rPr>
          <w:i/>
          <w:iCs/>
        </w:rPr>
        <w:t xml:space="preserve"> v. Hearst Corp.</w:t>
      </w:r>
      <w:r>
        <w:t>, 65 N.Y.2d 135, 490 N.Y.S.2d 735 (1985).</w:t>
      </w:r>
    </w:p>
    <w:p w:rsidR="00780DE1" w:rsidRDefault="00E50B82" w:rsidP="003123E8">
      <w:pPr>
        <w:pStyle w:val="ListParagraph"/>
        <w:spacing w:before="160" w:after="80" w:line="480" w:lineRule="auto"/>
        <w:ind w:left="720"/>
      </w:pPr>
      <w:r w:rsidRPr="003123E8">
        <w:rPr>
          <w:b/>
          <w:bCs/>
        </w:rPr>
        <w:t>C. Third Counterclaim: Malicious Prosecution</w:t>
      </w:r>
    </w:p>
    <w:p w:rsidR="00780DE1" w:rsidRDefault="00E50B82" w:rsidP="003123E8">
      <w:pPr>
        <w:pStyle w:val="ListParagraph"/>
        <w:numPr>
          <w:ilvl w:val="0"/>
          <w:numId w:val="3"/>
        </w:numPr>
        <w:spacing w:after="160" w:line="480" w:lineRule="auto"/>
        <w:jc w:val="both"/>
      </w:pPr>
      <w:r>
        <w:t>This counterclaim is fatally premature. An essential element of malicious prosecution is favorable termination of the prior action. A malicious prosecution counterclaim interposed in the very action claimed to be malicious must be dismissed because “the fo</w:t>
      </w:r>
      <w:r>
        <w:t xml:space="preserve">undation of the right to sue for malicious prosecution does not yet exist.” </w:t>
      </w:r>
      <w:r w:rsidRPr="003123E8">
        <w:rPr>
          <w:i/>
          <w:iCs/>
        </w:rPr>
        <w:t xml:space="preserve">Britt v. Legal Aid </w:t>
      </w:r>
      <w:proofErr w:type="spellStart"/>
      <w:r w:rsidRPr="003123E8">
        <w:rPr>
          <w:i/>
          <w:iCs/>
        </w:rPr>
        <w:t>Soc’y</w:t>
      </w:r>
      <w:proofErr w:type="spellEnd"/>
      <w:r>
        <w:t xml:space="preserve">, 95 N.Y.2d 443, 446 (2000); </w:t>
      </w:r>
      <w:r w:rsidRPr="003123E8">
        <w:rPr>
          <w:i/>
          <w:iCs/>
        </w:rPr>
        <w:t>Colon v. City of New York</w:t>
      </w:r>
      <w:r>
        <w:t>, 60 N.Y.2d 78, 83 (1983). The action has not terminated in Calvagno’s favor. Defense counsel does not</w:t>
      </w:r>
      <w:r>
        <w:t xml:space="preserve"> address this dispositive authority.</w:t>
      </w:r>
    </w:p>
    <w:p w:rsidR="00780DE1" w:rsidRDefault="00E50B82" w:rsidP="003123E8">
      <w:pPr>
        <w:pStyle w:val="ListParagraph"/>
        <w:numPr>
          <w:ilvl w:val="0"/>
          <w:numId w:val="3"/>
        </w:numPr>
        <w:spacing w:after="160" w:line="480" w:lineRule="auto"/>
        <w:jc w:val="both"/>
      </w:pPr>
      <w:r>
        <w:t xml:space="preserve">Separately, Plaintiffs had overwhelming probable cause. Plaintiffs submitted decibel readings exceeding 75 </w:t>
      </w:r>
      <w:proofErr w:type="spellStart"/>
      <w:r>
        <w:t>dBa</w:t>
      </w:r>
      <w:proofErr w:type="spellEnd"/>
      <w:r>
        <w:t xml:space="preserve"> measured </w:t>
      </w:r>
      <w:r w:rsidRPr="003123E8">
        <w:rPr>
          <w:i/>
          <w:iCs/>
        </w:rPr>
        <w:t>inside their home</w:t>
      </w:r>
      <w:r>
        <w:t xml:space="preserve">—meaning the exterior level at the source was substantially higher—along with </w:t>
      </w:r>
      <w:r>
        <w:t>police reports, neighbor complaints, photographs, and videos. Defense counsel’s claim that “</w:t>
      </w:r>
      <w:proofErr w:type="spellStart"/>
      <w:r>
        <w:t>NYS</w:t>
      </w:r>
      <w:proofErr w:type="spellEnd"/>
      <w:r>
        <w:t xml:space="preserve"> approved decibel ranges” cap acceptable levels “between 76 and 90 decibels” misrepresents the law: </w:t>
      </w:r>
      <w:proofErr w:type="spellStart"/>
      <w:r>
        <w:t>VTL</w:t>
      </w:r>
      <w:proofErr w:type="spellEnd"/>
      <w:r>
        <w:t xml:space="preserve"> §375(</w:t>
      </w:r>
      <w:proofErr w:type="gramStart"/>
      <w:r>
        <w:t>31)(</w:t>
      </w:r>
      <w:proofErr w:type="gramEnd"/>
      <w:r>
        <w:t>a) and Village of Amityville Code §114-3 prohibi</w:t>
      </w:r>
      <w:r>
        <w:t>t “excessive or unusual noise”—a qualitative standard with no fixed numerical ceiling. Moreover, Calvagno’s repeated claim that no citation was ever issued is directly contradicted by independent witness Elizabeth Ranker, who submitted an affidavit stating</w:t>
      </w:r>
      <w:r>
        <w:t xml:space="preserve"> police told her they “had already ticketed him a few times” (NYSCEF#100). The Court should consider Calvagno’s failure to disclose these tickets when evaluating the sanctions request. </w:t>
      </w:r>
      <w:proofErr w:type="spellStart"/>
      <w:r w:rsidRPr="003123E8">
        <w:rPr>
          <w:i/>
          <w:iCs/>
        </w:rPr>
        <w:t>Pirro</w:t>
      </w:r>
      <w:proofErr w:type="spellEnd"/>
      <w:r w:rsidRPr="003123E8">
        <w:rPr>
          <w:i/>
          <w:iCs/>
        </w:rPr>
        <w:t xml:space="preserve"> v. Bd. of Trustees</w:t>
      </w:r>
      <w:r>
        <w:t>, 203 A.D.3d 1263, 164 N.Y.S.3d 699 (3d Dep’t 2</w:t>
      </w:r>
      <w:r>
        <w:t>022).</w:t>
      </w:r>
    </w:p>
    <w:p w:rsidR="00780DE1" w:rsidRDefault="00E50B82" w:rsidP="003123E8">
      <w:pPr>
        <w:pStyle w:val="ListParagraph"/>
        <w:spacing w:before="160" w:after="80" w:line="480" w:lineRule="auto"/>
        <w:ind w:left="720"/>
      </w:pPr>
      <w:r w:rsidRPr="003123E8">
        <w:rPr>
          <w:b/>
          <w:bCs/>
        </w:rPr>
        <w:lastRenderedPageBreak/>
        <w:t>D. Fourth Counterclaim: Private Nuisance</w:t>
      </w:r>
    </w:p>
    <w:p w:rsidR="00780DE1" w:rsidRDefault="00E50B82" w:rsidP="003123E8">
      <w:pPr>
        <w:pStyle w:val="ListParagraph"/>
        <w:numPr>
          <w:ilvl w:val="0"/>
          <w:numId w:val="3"/>
        </w:numPr>
        <w:spacing w:after="160" w:line="480" w:lineRule="auto"/>
        <w:jc w:val="both"/>
      </w:pPr>
      <w:r>
        <w:t>A private nuisance requires a continuous invasion of rights</w:t>
      </w:r>
      <w:proofErr w:type="gramStart"/>
      <w:r>
        <w:t>—“</w:t>
      </w:r>
      <w:proofErr w:type="gramEnd"/>
      <w:r>
        <w:t xml:space="preserve">a pattern of continuity or recurrence of objectionable conduct.” </w:t>
      </w:r>
      <w:r w:rsidRPr="003123E8">
        <w:rPr>
          <w:i/>
          <w:iCs/>
        </w:rPr>
        <w:t>Aristides v. Foster</w:t>
      </w:r>
      <w:r>
        <w:t>, 73 A.D.3d 1105, 1106, 901 N.Y.S.2d 688 (2d Dep’t 2010). Ca</w:t>
      </w:r>
      <w:r>
        <w:t xml:space="preserve">lvagno’s own testimony establishes he suffered no interference with his use and enjoyment of his property (Tr. 160). His counterclaim rests on Mr. DeSousa speaking with two neighbors about a petition Calvagno never saw (Tr. 156) and which Calvagno himself </w:t>
      </w:r>
      <w:r>
        <w:t xml:space="preserve">admitted “may not have been a petition” at all. A single conversation with two neighbors does not approach the threshold of continuous, substantial interference required. </w:t>
      </w:r>
      <w:r w:rsidRPr="003123E8">
        <w:rPr>
          <w:i/>
          <w:iCs/>
        </w:rPr>
        <w:t xml:space="preserve">Bd. of Dirs. of Squire Green at Pawling Homeowners </w:t>
      </w:r>
      <w:proofErr w:type="spellStart"/>
      <w:r w:rsidRPr="003123E8">
        <w:rPr>
          <w:i/>
          <w:iCs/>
        </w:rPr>
        <w:t>Ass’n</w:t>
      </w:r>
      <w:proofErr w:type="spellEnd"/>
      <w:r w:rsidRPr="003123E8">
        <w:rPr>
          <w:i/>
          <w:iCs/>
        </w:rPr>
        <w:t xml:space="preserve"> v. Bell</w:t>
      </w:r>
      <w:r>
        <w:t>, 89 A.D.3d 657, 659,</w:t>
      </w:r>
      <w:r>
        <w:t xml:space="preserve"> 932 N.Y.S.2d 286 (2d Dep’t 2011).</w:t>
      </w:r>
    </w:p>
    <w:p w:rsidR="00780DE1" w:rsidRDefault="00E50B82" w:rsidP="003123E8">
      <w:pPr>
        <w:pStyle w:val="ListParagraph"/>
        <w:spacing w:before="160" w:after="80" w:line="480" w:lineRule="auto"/>
        <w:ind w:left="720"/>
      </w:pPr>
      <w:r w:rsidRPr="003123E8">
        <w:rPr>
          <w:b/>
          <w:bCs/>
        </w:rPr>
        <w:t xml:space="preserve">E. Fifth Counterclaim: Harassment, Menacing, and </w:t>
      </w:r>
      <w:proofErr w:type="spellStart"/>
      <w:r w:rsidRPr="003123E8">
        <w:rPr>
          <w:b/>
          <w:bCs/>
        </w:rPr>
        <w:t>IIED</w:t>
      </w:r>
      <w:proofErr w:type="spellEnd"/>
    </w:p>
    <w:p w:rsidR="00780DE1" w:rsidRDefault="00E50B82" w:rsidP="003123E8">
      <w:pPr>
        <w:pStyle w:val="ListParagraph"/>
        <w:numPr>
          <w:ilvl w:val="0"/>
          <w:numId w:val="3"/>
        </w:numPr>
        <w:spacing w:after="160" w:line="480" w:lineRule="auto"/>
        <w:jc w:val="both"/>
      </w:pPr>
      <w:r>
        <w:t xml:space="preserve">Calvagno concedes New York does not recognize common law causes of action for harassment or menacing, </w:t>
      </w:r>
      <w:r w:rsidRPr="003123E8">
        <w:rPr>
          <w:i/>
          <w:iCs/>
        </w:rPr>
        <w:t>Edelstein v. Farber</w:t>
      </w:r>
      <w:r>
        <w:t>, 27 A.D.3d 202, 811 N.Y.S.2d 358 (1st Dep</w:t>
      </w:r>
      <w:r>
        <w:t>’t 2006), and does not contest the failure to establish assault. His entire response is limited to intentional infliction of emotional distress (“</w:t>
      </w:r>
      <w:proofErr w:type="spellStart"/>
      <w:r>
        <w:t>IIED</w:t>
      </w:r>
      <w:proofErr w:type="spellEnd"/>
      <w:r>
        <w:t>”).</w:t>
      </w:r>
    </w:p>
    <w:p w:rsidR="00780DE1" w:rsidRDefault="00E50B82" w:rsidP="003123E8">
      <w:pPr>
        <w:pStyle w:val="ListParagraph"/>
        <w:numPr>
          <w:ilvl w:val="0"/>
          <w:numId w:val="3"/>
        </w:numPr>
        <w:spacing w:after="160" w:line="480" w:lineRule="auto"/>
        <w:jc w:val="both"/>
      </w:pPr>
      <w:r>
        <w:t>As a threshold matter, Calvagno fails to submit medical evidence of emotional distress. This failu</w:t>
      </w:r>
      <w:r>
        <w:t xml:space="preserve">re is independently fatal. </w:t>
      </w:r>
      <w:r w:rsidRPr="003123E8">
        <w:rPr>
          <w:i/>
          <w:iCs/>
        </w:rPr>
        <w:t>Murphy v. Murphy</w:t>
      </w:r>
      <w:r>
        <w:t xml:space="preserve">, 109 A.D.2d 965, 486 N.Y.S.2d 836 (3d Dep’t 1985); </w:t>
      </w:r>
      <w:proofErr w:type="spellStart"/>
      <w:r w:rsidRPr="003123E8">
        <w:rPr>
          <w:i/>
          <w:iCs/>
        </w:rPr>
        <w:t>Halio</w:t>
      </w:r>
      <w:proofErr w:type="spellEnd"/>
      <w:r w:rsidRPr="003123E8">
        <w:rPr>
          <w:i/>
          <w:iCs/>
        </w:rPr>
        <w:t xml:space="preserve"> v. Lurie</w:t>
      </w:r>
      <w:r>
        <w:t xml:space="preserve">, 15 A.D.2d 62, 222 N.Y.S.2d 759 (2d Dep’t 1961). On the merits, </w:t>
      </w:r>
      <w:proofErr w:type="spellStart"/>
      <w:r>
        <w:t>IIED</w:t>
      </w:r>
      <w:proofErr w:type="spellEnd"/>
      <w:r>
        <w:t xml:space="preserve"> requires conduct “so outrageous in character, and so extreme in degree, as to</w:t>
      </w:r>
      <w:r>
        <w:t xml:space="preserve"> go beyond all possible bounds of decency.” </w:t>
      </w:r>
      <w:r w:rsidRPr="003123E8">
        <w:rPr>
          <w:i/>
          <w:iCs/>
        </w:rPr>
        <w:t>Murphy v. Am. Home Prod. Corp.</w:t>
      </w:r>
      <w:r>
        <w:t>, 58 N.Y.2d 293, 303 (1983). A handful of mutual verbal disputes, one unsuccessful driveway blocking, and one tailgating incident—conduct Calvagno himself reciprocated—does not appro</w:t>
      </w:r>
      <w:r>
        <w:t xml:space="preserve">ach this threshold. </w:t>
      </w:r>
      <w:r w:rsidRPr="003123E8">
        <w:rPr>
          <w:i/>
          <w:iCs/>
        </w:rPr>
        <w:t xml:space="preserve">Marilyn S. v. </w:t>
      </w:r>
      <w:proofErr w:type="spellStart"/>
      <w:r w:rsidRPr="003123E8">
        <w:rPr>
          <w:i/>
          <w:iCs/>
        </w:rPr>
        <w:t>Indep</w:t>
      </w:r>
      <w:proofErr w:type="spellEnd"/>
      <w:r w:rsidRPr="003123E8">
        <w:rPr>
          <w:i/>
          <w:iCs/>
        </w:rPr>
        <w:t>. Grp. Home Living Program, Inc.</w:t>
      </w:r>
      <w:r>
        <w:t xml:space="preserve">, 73 A.D.3d 895, 897, </w:t>
      </w:r>
      <w:r>
        <w:lastRenderedPageBreak/>
        <w:t xml:space="preserve">904 N.Y.S.2d 70 (2d Dep’t 2010). Mr. DeSousa contacted police on only two occasions—May 26, 2021 and February 11, 2022—to report legitimate </w:t>
      </w:r>
      <w:proofErr w:type="spellStart"/>
      <w:r>
        <w:t>VTL</w:t>
      </w:r>
      <w:proofErr w:type="spellEnd"/>
      <w:r>
        <w:t xml:space="preserve"> violations. Calling</w:t>
      </w:r>
      <w:r>
        <w:t xml:space="preserve"> police to report a suspected violation of law is not extreme or outrageous conduct.</w:t>
      </w:r>
    </w:p>
    <w:p w:rsidR="00780DE1" w:rsidRDefault="00E50B82" w:rsidP="003123E8">
      <w:pPr>
        <w:pStyle w:val="ListParagraph"/>
        <w:numPr>
          <w:ilvl w:val="0"/>
          <w:numId w:val="3"/>
        </w:numPr>
        <w:spacing w:after="160" w:line="480" w:lineRule="auto"/>
        <w:jc w:val="both"/>
      </w:pPr>
      <w:r>
        <w:t xml:space="preserve">As to Calvagno’s claim that Plaintiffs “relentlessly” called authorities, the evidence shows only two police reports by Mr. DeSousa. That is not relentless. As to the </w:t>
      </w:r>
      <w:r>
        <w:t>subpoena served on Westbury Jeep: that subpoena was issued in response to a letter Calvagno himself produced as evidence in this case (NYSCEF#44). When deposed, Westbury Jeep’s Service Director testified he “did not know” if the car was ever inspected as t</w:t>
      </w:r>
      <w:r>
        <w:t xml:space="preserve">here was no record of the inspection (NYSCEF#45 at 13-17), and the Shop Foreman confirmed they would not check exhausts, mufflers, or decibels during an inspection (NYSCEF#91 at 22-23). The subpoena exposed another of Calvagno’s frauds—it did not threaten </w:t>
      </w:r>
      <w:r>
        <w:t>his employment.</w:t>
      </w:r>
    </w:p>
    <w:p w:rsidR="00780DE1" w:rsidRDefault="00E50B82" w:rsidP="003123E8">
      <w:pPr>
        <w:pStyle w:val="ListParagraph"/>
        <w:numPr>
          <w:ilvl w:val="0"/>
          <w:numId w:val="3"/>
        </w:numPr>
        <w:spacing w:after="160" w:line="480" w:lineRule="auto"/>
        <w:jc w:val="both"/>
      </w:pPr>
      <w:r>
        <w:t xml:space="preserve"> Finally, </w:t>
      </w:r>
      <w:r w:rsidRPr="003123E8">
        <w:rPr>
          <w:b/>
          <w:bCs/>
        </w:rPr>
        <w:t>Calvagno’s own sworn affirmation provides an independent and dispositive basis for dismissal of all counterclaims as against Mrs. DeSousa.</w:t>
      </w:r>
      <w:r>
        <w:t xml:space="preserve"> He states: “Not so much Diane. She’s never really done anything. She has always been res</w:t>
      </w:r>
      <w:r>
        <w:t>pectful.” Every counterclaim is asserted against both Plaintiffs. Having sworn that Mrs. DeSousa “has always been respectful” and “never really done anything,” Calvagno cannot maintain any counterclaim against her as an individual or as Executor. Summary j</w:t>
      </w:r>
      <w:r>
        <w:t xml:space="preserve">udgment dismissing all counterclaims as against Mrs. DeSousa is independently warranted on this ground alone. </w:t>
      </w:r>
      <w:proofErr w:type="spellStart"/>
      <w:r w:rsidRPr="003123E8">
        <w:rPr>
          <w:i/>
          <w:iCs/>
        </w:rPr>
        <w:t>Fousekéas</w:t>
      </w:r>
      <w:proofErr w:type="spellEnd"/>
      <w:r w:rsidRPr="003123E8">
        <w:rPr>
          <w:i/>
          <w:iCs/>
        </w:rPr>
        <w:t xml:space="preserve"> v. </w:t>
      </w:r>
      <w:proofErr w:type="spellStart"/>
      <w:r w:rsidRPr="003123E8">
        <w:rPr>
          <w:i/>
          <w:iCs/>
        </w:rPr>
        <w:t>Rondout</w:t>
      </w:r>
      <w:proofErr w:type="spellEnd"/>
      <w:r w:rsidRPr="003123E8">
        <w:rPr>
          <w:i/>
          <w:iCs/>
        </w:rPr>
        <w:t xml:space="preserve"> Val. Cent. Sch. Dist.</w:t>
      </w:r>
      <w:r>
        <w:t>, 10 A.D.3d 690, 782 N.Y.S.2d 84 (2d Dep’t 2004) (summary judgment appropriate where movant’s own admiss</w:t>
      </w:r>
      <w:r>
        <w:t>ions negate the claim).</w:t>
      </w:r>
    </w:p>
    <w:p w:rsidR="00780DE1" w:rsidRDefault="00E50B82">
      <w:pPr>
        <w:spacing w:before="240" w:after="160" w:line="480" w:lineRule="auto"/>
        <w:jc w:val="center"/>
      </w:pPr>
      <w:r>
        <w:rPr>
          <w:b/>
          <w:bCs/>
          <w:u w:val="single"/>
        </w:rPr>
        <w:t>C</w:t>
      </w:r>
      <w:r>
        <w:rPr>
          <w:b/>
          <w:bCs/>
          <w:u w:val="single"/>
        </w:rPr>
        <w:t>ONCLUSION</w:t>
      </w:r>
    </w:p>
    <w:p w:rsidR="00780DE1" w:rsidRDefault="00E50B82">
      <w:pPr>
        <w:spacing w:after="160" w:line="480" w:lineRule="auto"/>
        <w:jc w:val="both"/>
      </w:pPr>
      <w:r>
        <w:lastRenderedPageBreak/>
        <w:t xml:space="preserve">WHEREFORE, for all the foregoing reasons, Plaintiffs respectfully request that this Court enter an Order: (1) dismissing Defendant Richard A. Calvagno </w:t>
      </w:r>
      <w:proofErr w:type="spellStart"/>
      <w:r>
        <w:t>II’s</w:t>
      </w:r>
      <w:proofErr w:type="spellEnd"/>
      <w:r>
        <w:t xml:space="preserve"> First through Fifth Counterclaims in their entirety and awarding </w:t>
      </w:r>
      <w:r>
        <w:t xml:space="preserve">attorney’s fees as a sanction for the fraud committed upon this Court; or alternatively, (2) granting summary judgment pursuant to CPLR §3212(b) in favor of Plaintiffs dismissing all Counterclaims in their entirety; and (3) granting such other and further </w:t>
      </w:r>
      <w:r>
        <w:t>relief as this Court may deem just, proper, and equitable.</w:t>
      </w:r>
    </w:p>
    <w:p w:rsidR="00780DE1" w:rsidRDefault="00780DE1"/>
    <w:p w:rsidR="00780DE1" w:rsidRDefault="00E50B82">
      <w:pPr>
        <w:spacing w:line="320" w:lineRule="auto"/>
      </w:pPr>
      <w:r>
        <w:t>Dated: Commack, New York</w:t>
      </w:r>
    </w:p>
    <w:p w:rsidR="00780DE1" w:rsidRDefault="00E50B82">
      <w:pPr>
        <w:spacing w:line="320" w:lineRule="auto"/>
      </w:pPr>
      <w:r>
        <w:t xml:space="preserve">          May ___, 2026</w:t>
      </w:r>
    </w:p>
    <w:p w:rsidR="00780DE1" w:rsidRDefault="00780DE1"/>
    <w:p w:rsidR="00780DE1" w:rsidRDefault="00E50B82">
      <w:pPr>
        <w:spacing w:line="320" w:lineRule="auto"/>
      </w:pPr>
      <w:r>
        <w:t xml:space="preserve">                                         Yours, etc.,</w:t>
      </w:r>
    </w:p>
    <w:p w:rsidR="00780DE1" w:rsidRDefault="00780DE1"/>
    <w:p w:rsidR="00780DE1" w:rsidRDefault="00780DE1"/>
    <w:p w:rsidR="00780DE1" w:rsidRDefault="00E50B82">
      <w:pPr>
        <w:spacing w:line="320" w:lineRule="auto"/>
      </w:pPr>
      <w:r>
        <w:t xml:space="preserve">                                         ___________________________</w:t>
      </w:r>
    </w:p>
    <w:p w:rsidR="00780DE1" w:rsidRDefault="00E50B82">
      <w:pPr>
        <w:spacing w:line="320" w:lineRule="auto"/>
      </w:pPr>
      <w:r>
        <w:t xml:space="preserve">                                         John N. Cuomo</w:t>
      </w:r>
    </w:p>
    <w:p w:rsidR="00780DE1" w:rsidRDefault="00E50B82">
      <w:pPr>
        <w:spacing w:line="320" w:lineRule="auto"/>
      </w:pPr>
      <w:r>
        <w:t xml:space="preserve">                                         Attorney for Plaintiffs</w:t>
      </w:r>
    </w:p>
    <w:p w:rsidR="00780DE1" w:rsidRDefault="00E50B82">
      <w:pPr>
        <w:spacing w:line="320" w:lineRule="auto"/>
      </w:pPr>
      <w:r>
        <w:t xml:space="preserve">                                         11 Fern Drive</w:t>
      </w:r>
    </w:p>
    <w:p w:rsidR="00780DE1" w:rsidRDefault="00E50B82">
      <w:pPr>
        <w:spacing w:line="320" w:lineRule="auto"/>
      </w:pPr>
      <w:r>
        <w:t xml:space="preserve">                                         Commack, NY 11725</w:t>
      </w:r>
    </w:p>
    <w:p w:rsidR="00780DE1" w:rsidRDefault="00E50B82">
      <w:pPr>
        <w:spacing w:after="80" w:line="320" w:lineRule="auto"/>
      </w:pPr>
      <w:r>
        <w:t xml:space="preserve">                      </w:t>
      </w:r>
      <w:r>
        <w:t xml:space="preserve">                   631-403-0515</w:t>
      </w:r>
    </w:p>
    <w:p w:rsidR="00780DE1" w:rsidRDefault="00E50B82">
      <w:pPr>
        <w:spacing w:before="240" w:after="160" w:line="480" w:lineRule="auto"/>
        <w:jc w:val="center"/>
      </w:pPr>
      <w:r>
        <w:rPr>
          <w:b/>
          <w:bCs/>
          <w:u w:val="single"/>
        </w:rPr>
        <w:t>CERTIFICATION PURSUANT TO UNIFORM RULES 202.8-b</w:t>
      </w:r>
    </w:p>
    <w:p w:rsidR="00780DE1" w:rsidRDefault="00E50B82">
      <w:pPr>
        <w:spacing w:after="160" w:line="480" w:lineRule="auto"/>
        <w:jc w:val="both"/>
      </w:pPr>
      <w:r>
        <w:t>John N. Cuomo, an attorney duly admitted to practice law before the Courts of the State of New York, certifies that the foregoing Reply Affirmation was completed using a word p</w:t>
      </w:r>
      <w:r>
        <w:t>rocessing system and that I have relied on that system’s word count in preparing this certification. The total words, excluding those permitted to be excluded (caption, signature block), is [WORD COUNT] words.</w:t>
      </w:r>
    </w:p>
    <w:p w:rsidR="00780DE1" w:rsidRDefault="00780DE1"/>
    <w:p w:rsidR="00780DE1" w:rsidRDefault="00E50B82">
      <w:pPr>
        <w:spacing w:line="320" w:lineRule="auto"/>
      </w:pPr>
      <w:r>
        <w:t>Dated: Commack, New York</w:t>
      </w:r>
    </w:p>
    <w:p w:rsidR="00780DE1" w:rsidRDefault="00E50B82">
      <w:pPr>
        <w:spacing w:line="320" w:lineRule="auto"/>
      </w:pPr>
      <w:r>
        <w:t xml:space="preserve">          May ___, 2026</w:t>
      </w:r>
    </w:p>
    <w:p w:rsidR="00780DE1" w:rsidRDefault="00780DE1"/>
    <w:p w:rsidR="00780DE1" w:rsidRDefault="00780DE1"/>
    <w:p w:rsidR="00780DE1" w:rsidRDefault="00E50B82">
      <w:pPr>
        <w:spacing w:line="320" w:lineRule="auto"/>
      </w:pPr>
      <w:r>
        <w:t xml:space="preserve">                                         ___________________________</w:t>
      </w:r>
    </w:p>
    <w:p w:rsidR="00780DE1" w:rsidRDefault="00E50B82">
      <w:pPr>
        <w:spacing w:line="320" w:lineRule="auto"/>
      </w:pPr>
      <w:r>
        <w:t xml:space="preserve">                                         John N. Cuomo</w:t>
      </w:r>
    </w:p>
    <w:sectPr w:rsidR="00780DE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792A41"/>
    <w:multiLevelType w:val="hybridMultilevel"/>
    <w:tmpl w:val="76923142"/>
    <w:lvl w:ilvl="0" w:tplc="0B680EE6">
      <w:start w:val="1"/>
      <w:numFmt w:val="bullet"/>
      <w:lvlText w:val="●"/>
      <w:lvlJc w:val="left"/>
      <w:pPr>
        <w:ind w:left="720" w:hanging="360"/>
      </w:pPr>
    </w:lvl>
    <w:lvl w:ilvl="1" w:tplc="0CE2AF84">
      <w:start w:val="1"/>
      <w:numFmt w:val="bullet"/>
      <w:lvlText w:val="○"/>
      <w:lvlJc w:val="left"/>
      <w:pPr>
        <w:ind w:left="1440" w:hanging="360"/>
      </w:pPr>
    </w:lvl>
    <w:lvl w:ilvl="2" w:tplc="D8BC59B0">
      <w:start w:val="1"/>
      <w:numFmt w:val="bullet"/>
      <w:lvlText w:val="■"/>
      <w:lvlJc w:val="left"/>
      <w:pPr>
        <w:ind w:left="2160" w:hanging="360"/>
      </w:pPr>
    </w:lvl>
    <w:lvl w:ilvl="3" w:tplc="372AD352">
      <w:start w:val="1"/>
      <w:numFmt w:val="bullet"/>
      <w:lvlText w:val="●"/>
      <w:lvlJc w:val="left"/>
      <w:pPr>
        <w:ind w:left="2880" w:hanging="360"/>
      </w:pPr>
    </w:lvl>
    <w:lvl w:ilvl="4" w:tplc="9E6C3E06">
      <w:start w:val="1"/>
      <w:numFmt w:val="bullet"/>
      <w:lvlText w:val="○"/>
      <w:lvlJc w:val="left"/>
      <w:pPr>
        <w:ind w:left="3600" w:hanging="360"/>
      </w:pPr>
    </w:lvl>
    <w:lvl w:ilvl="5" w:tplc="F32C8C84">
      <w:start w:val="1"/>
      <w:numFmt w:val="bullet"/>
      <w:lvlText w:val="■"/>
      <w:lvlJc w:val="left"/>
      <w:pPr>
        <w:ind w:left="4320" w:hanging="360"/>
      </w:pPr>
    </w:lvl>
    <w:lvl w:ilvl="6" w:tplc="4AE0EF4A">
      <w:start w:val="1"/>
      <w:numFmt w:val="bullet"/>
      <w:lvlText w:val="●"/>
      <w:lvlJc w:val="left"/>
      <w:pPr>
        <w:ind w:left="5040" w:hanging="360"/>
      </w:pPr>
    </w:lvl>
    <w:lvl w:ilvl="7" w:tplc="68669CAA">
      <w:start w:val="1"/>
      <w:numFmt w:val="bullet"/>
      <w:lvlText w:val="●"/>
      <w:lvlJc w:val="left"/>
      <w:pPr>
        <w:ind w:left="5760" w:hanging="360"/>
      </w:pPr>
    </w:lvl>
    <w:lvl w:ilvl="8" w:tplc="B712A06A">
      <w:start w:val="1"/>
      <w:numFmt w:val="bullet"/>
      <w:lvlText w:val="●"/>
      <w:lvlJc w:val="left"/>
      <w:pPr>
        <w:ind w:left="6480" w:hanging="360"/>
      </w:pPr>
    </w:lvl>
  </w:abstractNum>
  <w:abstractNum w:abstractNumId="1" w15:restartNumberingAfterBreak="0">
    <w:nsid w:val="62D25CC1"/>
    <w:multiLevelType w:val="hybridMultilevel"/>
    <w:tmpl w:val="25DA99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3F02B772">
      <w:start w:val="1"/>
      <w:numFmt w:val="upperLetter"/>
      <w:lvlText w:val="%3."/>
      <w:lvlJc w:val="left"/>
      <w:pPr>
        <w:ind w:left="2340" w:hanging="360"/>
      </w:pPr>
      <w:rPr>
        <w:rFonts w:hint="default"/>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1952B0"/>
    <w:multiLevelType w:val="hybridMultilevel"/>
    <w:tmpl w:val="2356F15E"/>
    <w:lvl w:ilvl="0" w:tplc="3B9885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DE1"/>
    <w:rsid w:val="00202297"/>
    <w:rsid w:val="003123E8"/>
    <w:rsid w:val="00486C2F"/>
    <w:rsid w:val="00780DE1"/>
    <w:rsid w:val="00A50DC0"/>
    <w:rsid w:val="00E50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2846E"/>
  <w15:docId w15:val="{438C84F5-521F-479E-9119-7DE79779E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022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2767</Words>
  <Characters>15777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CMB SSD</cp:lastModifiedBy>
  <cp:revision>2</cp:revision>
  <dcterms:created xsi:type="dcterms:W3CDTF">2026-05-02T11:37:00Z</dcterms:created>
  <dcterms:modified xsi:type="dcterms:W3CDTF">2026-05-02T11:37:00Z</dcterms:modified>
</cp:coreProperties>
</file>