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rPr/>
      </w:pPr>
      <w:r w:rsidDel="00000000" w:rsidR="00000000" w:rsidRPr="00000000">
        <w:rPr>
          <w:rFonts w:ascii="Arial" w:cs="Arial" w:eastAsia="Arial" w:hAnsi="Arial"/>
          <w:b w:val="1"/>
          <w:bCs w:val="1"/>
          <w:sz w:val="26"/>
          <w:szCs w:val="26"/>
          <w:rtl w:val="0"/>
        </w:rPr>
        <w:t xml:space="preserve">BI Agent - Decision Log</w:t>
      </w:r>
      <w:r w:rsidDel="00000000" w:rsidR="00000000" w:rsidRPr="00000000">
        <w:rPr>
          <w:rtl w:val="0"/>
        </w:rPr>
      </w:r>
    </w:p>
    <w:p w:rsidR="00000000" w:rsidDel="00000000" w:rsidP="00000000" w:rsidRDefault="00000000" w:rsidRPr="00000000" w14:paraId="00000002">
      <w:pPr>
        <w:spacing w:after="80" w:before="240" w:lineRule="auto"/>
        <w:rPr/>
      </w:pPr>
      <w:r w:rsidDel="00000000" w:rsidR="00000000" w:rsidRPr="00000000">
        <w:rPr>
          <w:rFonts w:ascii="Arial" w:cs="Arial" w:eastAsia="Arial" w:hAnsi="Arial"/>
          <w:b w:val="1"/>
          <w:bCs w:val="1"/>
          <w:sz w:val="22"/>
          <w:szCs w:val="22"/>
          <w:rtl w:val="0"/>
        </w:rPr>
        <w:t xml:space="preserve">Decision 1: Agent Architecture - LangGraph and ReAct Pattern</w:t>
      </w:r>
      <w:r w:rsidDel="00000000" w:rsidR="00000000" w:rsidRPr="00000000">
        <w:rPr>
          <w:rtl w:val="0"/>
        </w:rPr>
      </w:r>
    </w:p>
    <w:p w:rsidR="00000000" w:rsidDel="00000000" w:rsidP="00000000" w:rsidRDefault="00000000" w:rsidRPr="00000000" w14:paraId="00000003">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LangGraph was selected as the orchestration framework and the ReAct (Reasoning and Acting) pattern was adopted as the core agent reasoning strategy.</w:t>
      </w:r>
      <w:r w:rsidDel="00000000" w:rsidR="00000000" w:rsidRPr="00000000">
        <w:rPr>
          <w:rtl w:val="0"/>
        </w:rPr>
      </w:r>
    </w:p>
    <w:p w:rsidR="00000000" w:rsidDel="00000000" w:rsidP="00000000" w:rsidRDefault="00000000" w:rsidRPr="00000000" w14:paraId="00000004">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LangGraph provides a declarative graph abstraction for defining nodes and edges with structured state management and deterministic control flow. ReAct gives the agent an explicit reasoning step before every action, which reduces erroneous or speculative tool calls. For the current five-tool implementation, both choices add limited immediate complexity overhead. A simple loop with keyword-based tool selection would be functionally sufficient at this stage. However, as the tool set grows and queries become more complex, spanning multiple boards, requiring conditional logic, or involving multi-step reasoning, LangGraph's graph structure and ReAct's reasoning discipline ensure the agent scales without requiring architectural rewrites. Both decisions reflect deliberate future-proofing.</w:t>
      </w:r>
      <w:r w:rsidDel="00000000" w:rsidR="00000000" w:rsidRPr="00000000">
        <w:rPr>
          <w:rtl w:val="0"/>
        </w:rPr>
      </w:r>
    </w:p>
    <w:p w:rsidR="00000000" w:rsidDel="00000000" w:rsidP="00000000" w:rsidRDefault="00000000" w:rsidRPr="00000000" w14:paraId="00000005">
      <w:pPr>
        <w:spacing w:after="60" w:before="60" w:lineRule="auto"/>
        <w:rPr/>
      </w:pPr>
      <w:r w:rsidDel="00000000" w:rsidR="00000000" w:rsidRPr="00000000">
        <w:rPr>
          <w:rFonts w:ascii="Arial" w:cs="Arial" w:eastAsia="Arial" w:hAnsi="Arial"/>
          <w:b w:val="1"/>
          <w:bCs w:val="1"/>
          <w:sz w:val="22"/>
          <w:szCs w:val="22"/>
          <w:rtl w:val="0"/>
        </w:rPr>
        <w:t xml:space="preserve">Alternatives considered: </w:t>
      </w:r>
      <w:r w:rsidDel="00000000" w:rsidR="00000000" w:rsidRPr="00000000">
        <w:rPr>
          <w:rFonts w:ascii="Arial" w:cs="Arial" w:eastAsia="Arial" w:hAnsi="Arial"/>
          <w:sz w:val="22"/>
          <w:szCs w:val="22"/>
          <w:rtl w:val="0"/>
        </w:rPr>
        <w:t xml:space="preserve">A hand-coded while loop invoking tools directly. Rejected because it offers no state management guarantees and would require significant refactoring to support more complex workflows.</w:t>
      </w:r>
      <w:r w:rsidDel="00000000" w:rsidR="00000000" w:rsidRPr="00000000">
        <w:rPr>
          <w:rtl w:val="0"/>
        </w:rPr>
      </w:r>
    </w:p>
    <w:p w:rsidR="00000000" w:rsidDel="00000000" w:rsidP="00000000" w:rsidRDefault="00000000" w:rsidRPr="00000000" w14:paraId="00000006">
      <w:pPr>
        <w:spacing w:after="80" w:lineRule="auto"/>
        <w:rPr/>
      </w:pPr>
      <w:r w:rsidDel="00000000" w:rsidR="00000000" w:rsidRPr="00000000">
        <w:rPr>
          <w:rtl w:val="0"/>
        </w:rPr>
      </w:r>
    </w:p>
    <w:p w:rsidR="00000000" w:rsidDel="00000000" w:rsidP="00000000" w:rsidRDefault="00000000" w:rsidRPr="00000000" w14:paraId="00000007">
      <w:pPr>
        <w:spacing w:after="80" w:before="240" w:lineRule="auto"/>
        <w:rPr/>
      </w:pPr>
      <w:r w:rsidDel="00000000" w:rsidR="00000000" w:rsidRPr="00000000">
        <w:rPr>
          <w:rFonts w:ascii="Arial" w:cs="Arial" w:eastAsia="Arial" w:hAnsi="Arial"/>
          <w:b w:val="1"/>
          <w:bCs w:val="1"/>
          <w:sz w:val="22"/>
          <w:szCs w:val="22"/>
          <w:rtl w:val="0"/>
        </w:rPr>
        <w:t xml:space="preserve">Decision 2: LLM Provider - Groq with Llama 3.3 70B</w:t>
      </w:r>
      <w:r w:rsidDel="00000000" w:rsidR="00000000" w:rsidRPr="00000000">
        <w:rPr>
          <w:rtl w:val="0"/>
        </w:rPr>
      </w:r>
    </w:p>
    <w:p w:rsidR="00000000" w:rsidDel="00000000" w:rsidP="00000000" w:rsidRDefault="00000000" w:rsidRPr="00000000" w14:paraId="00000008">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Groq was selected as the LLM provider with Llama 3.3 70B as the model.</w:t>
      </w: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Groq's free tier offers significantly faster inference speeds compared to alternatives and was the most practical choice for a prototype operating under zero infrastructure cost constraints. Gemini was evaluated first but its free quota was exhausted during early prototyping. Llama 3.3 70B was selected specifically for its large context window and native tool-calling capability, both of which are non-negotiable requirements for a multi-tool ReAct agent. Several token optimization measures were implemented in parallel to operate reliably within Groq's free tier rate limits, including conversation history trimming, compact tool payloads, and structured data quality dictionaries rather than verbose text responses.</w:t>
      </w:r>
      <w:r w:rsidDel="00000000" w:rsidR="00000000" w:rsidRPr="00000000">
        <w:rPr>
          <w:rtl w:val="0"/>
        </w:rPr>
      </w:r>
    </w:p>
    <w:p w:rsidR="00000000" w:rsidDel="00000000" w:rsidP="00000000" w:rsidRDefault="00000000" w:rsidRPr="00000000" w14:paraId="0000000A">
      <w:pPr>
        <w:spacing w:after="60" w:before="60" w:lineRule="auto"/>
        <w:rPr/>
      </w:pPr>
      <w:r w:rsidDel="00000000" w:rsidR="00000000" w:rsidRPr="00000000">
        <w:rPr>
          <w:rFonts w:ascii="Arial" w:cs="Arial" w:eastAsia="Arial" w:hAnsi="Arial"/>
          <w:b w:val="1"/>
          <w:bCs w:val="1"/>
          <w:sz w:val="22"/>
          <w:szCs w:val="22"/>
          <w:rtl w:val="0"/>
        </w:rPr>
        <w:t xml:space="preserve">Alternatives considered: </w:t>
      </w:r>
      <w:r w:rsidDel="00000000" w:rsidR="00000000" w:rsidRPr="00000000">
        <w:rPr>
          <w:rFonts w:ascii="Arial" w:cs="Arial" w:eastAsia="Arial" w:hAnsi="Arial"/>
          <w:sz w:val="22"/>
          <w:szCs w:val="22"/>
          <w:rtl w:val="0"/>
        </w:rPr>
        <w:t xml:space="preserve">Gemini (evaluated, free quota exhausted early), OpenAI GPT-4 (paid tier, ruled out on cost grounds at prototype stage).</w:t>
      </w:r>
      <w:r w:rsidDel="00000000" w:rsidR="00000000" w:rsidRPr="00000000">
        <w:rPr>
          <w:rtl w:val="0"/>
        </w:rPr>
      </w:r>
    </w:p>
    <w:p w:rsidR="00000000" w:rsidDel="00000000" w:rsidP="00000000" w:rsidRDefault="00000000" w:rsidRPr="00000000" w14:paraId="0000000B">
      <w:pPr>
        <w:spacing w:after="80" w:lineRule="auto"/>
        <w:rPr/>
      </w:pPr>
      <w:r w:rsidDel="00000000" w:rsidR="00000000" w:rsidRPr="00000000">
        <w:rPr>
          <w:rtl w:val="0"/>
        </w:rPr>
      </w:r>
    </w:p>
    <w:p w:rsidR="00000000" w:rsidDel="00000000" w:rsidP="00000000" w:rsidRDefault="00000000" w:rsidRPr="00000000" w14:paraId="0000000C">
      <w:pPr>
        <w:spacing w:after="80" w:before="240" w:lineRule="auto"/>
        <w:rPr/>
      </w:pPr>
      <w:r w:rsidDel="00000000" w:rsidR="00000000" w:rsidRPr="00000000">
        <w:rPr>
          <w:rFonts w:ascii="Arial" w:cs="Arial" w:eastAsia="Arial" w:hAnsi="Arial"/>
          <w:b w:val="1"/>
          <w:bCs w:val="1"/>
          <w:sz w:val="22"/>
          <w:szCs w:val="22"/>
          <w:rtl w:val="0"/>
        </w:rPr>
        <w:t xml:space="preserve">Decision 3: Five Dedicated Tools Rather Than a Single Parameterised Tool</w:t>
      </w:r>
      <w:r w:rsidDel="00000000" w:rsidR="00000000" w:rsidRPr="00000000">
        <w:rPr>
          <w:rtl w:val="0"/>
        </w:rPr>
      </w:r>
    </w:p>
    <w:p w:rsidR="00000000" w:rsidDel="00000000" w:rsidP="00000000" w:rsidRDefault="00000000" w:rsidRPr="00000000" w14:paraId="0000000D">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The agent exposes five distinct tools each scoped to a specific analytical domain, rather than one or two generic tools with broad parameters.</w:t>
      </w:r>
      <w:r w:rsidDel="00000000" w:rsidR="00000000" w:rsidRPr="00000000">
        <w:rPr>
          <w:rtl w:val="0"/>
        </w:rPr>
      </w:r>
    </w:p>
    <w:p w:rsidR="00000000" w:rsidDel="00000000" w:rsidP="00000000" w:rsidRDefault="00000000" w:rsidRPr="00000000" w14:paraId="0000000E">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Tool boundaries were defined after manual inspection of both datasets to identify what analysis was actually feasible given the data quality. The multi-tool approach carries a concrete token efficiency advantage for a free tier API. Each tool returns only its relevant data slice, so the LLM consumes tokens only for what it needs to answer the specific question asked. A single combined tool would return bulk output and require the LLM to filter relevant information internally, consuming significantly more tokens per query. The dedicated tool approach also simplifies problem scope at the prototype stage and makes each tool independently testable and maintainable.</w:t>
      </w:r>
      <w:r w:rsidDel="00000000" w:rsidR="00000000" w:rsidRPr="00000000">
        <w:rPr>
          <w:rtl w:val="0"/>
        </w:rPr>
      </w:r>
    </w:p>
    <w:p w:rsidR="00000000" w:rsidDel="00000000" w:rsidP="00000000" w:rsidRDefault="00000000" w:rsidRPr="00000000" w14:paraId="0000000F">
      <w:pPr>
        <w:spacing w:after="60" w:before="60" w:lineRule="auto"/>
        <w:rPr/>
      </w:pPr>
      <w:r w:rsidDel="00000000" w:rsidR="00000000" w:rsidRPr="00000000">
        <w:rPr>
          <w:rFonts w:ascii="Arial" w:cs="Arial" w:eastAsia="Arial" w:hAnsi="Arial"/>
          <w:b w:val="1"/>
          <w:bCs w:val="1"/>
          <w:sz w:val="22"/>
          <w:szCs w:val="22"/>
          <w:rtl w:val="0"/>
        </w:rPr>
        <w:t xml:space="preserve">Trade-off acknowledged: </w:t>
      </w:r>
      <w:r w:rsidDel="00000000" w:rsidR="00000000" w:rsidRPr="00000000">
        <w:rPr>
          <w:rFonts w:ascii="Arial" w:cs="Arial" w:eastAsia="Arial" w:hAnsi="Arial"/>
          <w:sz w:val="22"/>
          <w:szCs w:val="22"/>
          <w:rtl w:val="0"/>
        </w:rPr>
        <w:t xml:space="preserve">Optional filter arguments were evaluated for sector, owner, and deal status, but were rejected due to schema validation which caused tool call failures at runtime. The current design intentionally returns full board data and delegates filtering to the LLM. Merging related tools with argument-based filtering remains a candidate improvement.</w:t>
      </w:r>
      <w:r w:rsidDel="00000000" w:rsidR="00000000" w:rsidRPr="00000000">
        <w:rPr>
          <w:rtl w:val="0"/>
        </w:rPr>
      </w:r>
    </w:p>
    <w:p w:rsidR="00000000" w:rsidDel="00000000" w:rsidP="00000000" w:rsidRDefault="00000000" w:rsidRPr="00000000" w14:paraId="00000010">
      <w:pPr>
        <w:spacing w:after="80" w:lineRule="auto"/>
        <w:rPr/>
      </w:pPr>
      <w:r w:rsidDel="00000000" w:rsidR="00000000" w:rsidRPr="00000000">
        <w:rPr>
          <w:rtl w:val="0"/>
        </w:rPr>
      </w:r>
    </w:p>
    <w:p w:rsidR="00000000" w:rsidDel="00000000" w:rsidP="00000000" w:rsidRDefault="00000000" w:rsidRPr="00000000" w14:paraId="00000011">
      <w:pPr>
        <w:spacing w:after="80" w:before="240" w:lineRule="auto"/>
        <w:rPr/>
      </w:pPr>
      <w:r w:rsidDel="00000000" w:rsidR="00000000" w:rsidRPr="00000000">
        <w:rPr>
          <w:rFonts w:ascii="Arial" w:cs="Arial" w:eastAsia="Arial" w:hAnsi="Arial"/>
          <w:b w:val="1"/>
          <w:bCs w:val="1"/>
          <w:sz w:val="22"/>
          <w:szCs w:val="22"/>
          <w:rtl w:val="0"/>
        </w:rPr>
        <w:t xml:space="preserve">Decision 4: No Join Between the Two Boards</w:t>
      </w:r>
      <w:r w:rsidDel="00000000" w:rsidR="00000000" w:rsidRPr="00000000">
        <w:rPr>
          <w:rtl w:val="0"/>
        </w:rPr>
      </w:r>
    </w:p>
    <w:p w:rsidR="00000000" w:rsidDel="00000000" w:rsidP="00000000" w:rsidRDefault="00000000" w:rsidRPr="00000000" w14:paraId="00000012">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The Deal Funnel and Work Orders boards are treated as independent analytical domains with no join implemented between them.</w:t>
      </w: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Although the two boards conceptually represent the sales-to-delivery pipeline, where a won deal in the funnel becomes a work order, no reliable shared key was identified between them during data inspection. Masked identifiers and inconsistent naming conventions across boards made any attempted join unreliable and likely to produce misleading aggregations. Rather than implement a join on an uncertain foreign key relationship, the decision was made to scope each tool to its own board and treat cross-board linkage as a future architectural requirement once a canonical key is established.</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Fonts w:ascii="Arial" w:cs="Arial" w:eastAsia="Arial" w:hAnsi="Arial"/>
          <w:b w:val="1"/>
          <w:bCs w:val="1"/>
          <w:sz w:val="22"/>
          <w:szCs w:val="22"/>
          <w:rtl w:val="0"/>
        </w:rPr>
        <w:t xml:space="preserve">Future improvement: </w:t>
      </w:r>
      <w:r w:rsidDel="00000000" w:rsidR="00000000" w:rsidRPr="00000000">
        <w:rPr>
          <w:rFonts w:ascii="Arial" w:cs="Arial" w:eastAsia="Arial" w:hAnsi="Arial"/>
          <w:sz w:val="22"/>
          <w:szCs w:val="22"/>
          <w:rtl w:val="0"/>
        </w:rPr>
        <w:t xml:space="preserve">Establish a reliable foreign key between the two boards and implement cross-board aggregations to enable pipeline conversion analysis, tracking deals from the funnel through to contracted, billed, and collected value.</w:t>
      </w:r>
      <w:r w:rsidDel="00000000" w:rsidR="00000000" w:rsidRPr="00000000">
        <w:rPr>
          <w:rtl w:val="0"/>
        </w:rPr>
      </w:r>
    </w:p>
    <w:p w:rsidR="00000000" w:rsidDel="00000000" w:rsidP="00000000" w:rsidRDefault="00000000" w:rsidRPr="00000000" w14:paraId="00000015">
      <w:pPr>
        <w:spacing w:after="80" w:lineRule="auto"/>
        <w:rPr/>
      </w:pPr>
      <w:r w:rsidDel="00000000" w:rsidR="00000000" w:rsidRPr="00000000">
        <w:rPr>
          <w:rtl w:val="0"/>
        </w:rPr>
      </w:r>
    </w:p>
    <w:p w:rsidR="00000000" w:rsidDel="00000000" w:rsidP="00000000" w:rsidRDefault="00000000" w:rsidRPr="00000000" w14:paraId="00000016">
      <w:pPr>
        <w:spacing w:after="80" w:before="240" w:lineRule="auto"/>
        <w:rPr/>
      </w:pPr>
      <w:r w:rsidDel="00000000" w:rsidR="00000000" w:rsidRPr="00000000">
        <w:rPr>
          <w:rFonts w:ascii="Arial" w:cs="Arial" w:eastAsia="Arial" w:hAnsi="Arial"/>
          <w:b w:val="1"/>
          <w:bCs w:val="1"/>
          <w:sz w:val="22"/>
          <w:szCs w:val="22"/>
          <w:rtl w:val="0"/>
        </w:rPr>
        <w:t xml:space="preserve">Decision 5: Data Quality Strategy - Canonicalization and Explicit Quality Reporting</w:t>
      </w:r>
      <w:r w:rsidDel="00000000" w:rsidR="00000000" w:rsidRPr="00000000">
        <w:rPr>
          <w:rtl w:val="0"/>
        </w:rPr>
      </w:r>
    </w:p>
    <w:p w:rsidR="00000000" w:rsidDel="00000000" w:rsidP="00000000" w:rsidRDefault="00000000" w:rsidRPr="00000000" w14:paraId="00000017">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A sector canonicalization map was maintained in configuration to normalize name variants, and every tool response includes an explicit data quality dictionary surfacing missing value counts per column. The system prompt mandates that the LLM always present these as caveats with impact ratings.</w:t>
      </w:r>
      <w:r w:rsidDel="00000000" w:rsidR="00000000" w:rsidRPr="00000000">
        <w:rPr>
          <w:rtl w:val="0"/>
        </w:rPr>
      </w:r>
    </w:p>
    <w:p w:rsidR="00000000" w:rsidDel="00000000" w:rsidP="00000000" w:rsidRDefault="00000000" w:rsidRPr="00000000" w14:paraId="00000018">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Manual inspection of both datasets revealed significant data quality issues. Sector names appeared under multiple spelling variants across boards, key analytical columns had substantial missing values, and some aggregations were materially skewed as a result. The canonicalization map was built from observed variants in the data, ensuring groupby aggregations produce clean, consolidated results. The data quality reporting mechanism was introduced by making the LLM explicitly caveat every response with field-level missing data counts and HIGH, MODERATE, or LOW impact ratings. The agent actively signals the reliability of its own outputs rather than presenting skewed figures with false confidence. The intentional messiness of the source dataset, including embedded header rows exported as data rows, duplicate records, and inconsistent formatting, was identified through manual inspection.</w:t>
      </w:r>
      <w:r w:rsidDel="00000000" w:rsidR="00000000" w:rsidRPr="00000000">
        <w:rPr>
          <w:rtl w:val="0"/>
        </w:rPr>
      </w:r>
    </w:p>
    <w:p w:rsidR="00000000" w:rsidDel="00000000" w:rsidP="00000000" w:rsidRDefault="00000000" w:rsidRPr="00000000" w14:paraId="00000019">
      <w:pPr>
        <w:spacing w:after="80" w:lineRule="auto"/>
        <w:rPr/>
      </w:pPr>
      <w:r w:rsidDel="00000000" w:rsidR="00000000" w:rsidRPr="00000000">
        <w:rPr>
          <w:rtl w:val="0"/>
        </w:rPr>
      </w:r>
    </w:p>
    <w:p w:rsidR="00000000" w:rsidDel="00000000" w:rsidP="00000000" w:rsidRDefault="00000000" w:rsidRPr="00000000" w14:paraId="0000001A">
      <w:pPr>
        <w:spacing w:after="80" w:before="240" w:lineRule="auto"/>
        <w:rPr/>
      </w:pPr>
      <w:r w:rsidDel="00000000" w:rsidR="00000000" w:rsidRPr="00000000">
        <w:rPr>
          <w:rFonts w:ascii="Arial" w:cs="Arial" w:eastAsia="Arial" w:hAnsi="Arial"/>
          <w:b w:val="1"/>
          <w:bCs w:val="1"/>
          <w:sz w:val="22"/>
          <w:szCs w:val="22"/>
          <w:rtl w:val="0"/>
        </w:rPr>
        <w:t xml:space="preserve">Decision 6: System Prompt as a Living Engineering Artifact</w:t>
      </w:r>
      <w:r w:rsidDel="00000000" w:rsidR="00000000" w:rsidRPr="00000000">
        <w:rPr>
          <w:rtl w:val="0"/>
        </w:rPr>
      </w:r>
    </w:p>
    <w:p w:rsidR="00000000" w:rsidDel="00000000" w:rsidP="00000000" w:rsidRDefault="00000000" w:rsidRPr="00000000" w14:paraId="0000001B">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The system prompt was treated as an iteratively refined engineering artifact rather than a static instruction file, and maintained in a dedicated prompts.py module.</w:t>
      </w:r>
      <w:r w:rsidDel="00000000" w:rsidR="00000000" w:rsidRPr="00000000">
        <w:rPr>
          <w:rtl w:val="0"/>
        </w:rPr>
      </w:r>
    </w:p>
    <w:p w:rsidR="00000000" w:rsidDel="00000000" w:rsidP="00000000" w:rsidRDefault="00000000" w:rsidRPr="00000000" w14:paraId="0000001C">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The prompt evolved through repeated testing cycles where specific observed failures were addressed with targeted instructions. Unsorted breakdowns prompted an explicit sort order instruction. Skipped or inconsistent caveats prompted mandatory formatting rules with impact thresholds. Vague or buried answers prompted the instruction to always lead with the headline figure. Unhelpful responses to open-ended queries prompted a follow-up question suggestion mechanism to guide users toward what the agent can answer, which was an important UX decision given the prototype's deliberately limited analytical scope. The final prompt encodes accumulated prompt engineering knowledge specific to this application. It is acknowledged that some instructions, such as sort order, are prompt engineering workarounds for behaviour that is more correctly handled in the processing layer.</w:t>
      </w:r>
      <w:r w:rsidDel="00000000" w:rsidR="00000000" w:rsidRPr="00000000">
        <w:rPr>
          <w:rtl w:val="0"/>
        </w:rPr>
      </w:r>
    </w:p>
    <w:p w:rsidR="00000000" w:rsidDel="00000000" w:rsidP="00000000" w:rsidRDefault="00000000" w:rsidRPr="00000000" w14:paraId="0000001D">
      <w:pPr>
        <w:spacing w:after="80" w:lineRule="auto"/>
        <w:rPr/>
      </w:pPr>
      <w:r w:rsidDel="00000000" w:rsidR="00000000" w:rsidRPr="00000000">
        <w:rPr>
          <w:rtl w:val="0"/>
        </w:rPr>
      </w:r>
    </w:p>
    <w:p w:rsidR="00000000" w:rsidDel="00000000" w:rsidP="00000000" w:rsidRDefault="00000000" w:rsidRPr="00000000" w14:paraId="0000001E">
      <w:pPr>
        <w:spacing w:after="80" w:before="240" w:lineRule="auto"/>
        <w:rPr/>
      </w:pPr>
      <w:r w:rsidDel="00000000" w:rsidR="00000000" w:rsidRPr="00000000">
        <w:rPr>
          <w:rFonts w:ascii="Arial" w:cs="Arial" w:eastAsia="Arial" w:hAnsi="Arial"/>
          <w:b w:val="1"/>
          <w:bCs w:val="1"/>
          <w:sz w:val="22"/>
          <w:szCs w:val="22"/>
          <w:rtl w:val="0"/>
        </w:rPr>
        <w:t xml:space="preserve">Decision 7: Token and Context Optimizations</w:t>
      </w: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Conversation history passed to the LLM is trimmed to the last two exchanges per turn, and the LangGraph recursion limit is set to 10 nodes per turn.</w:t>
      </w:r>
      <w:r w:rsidDel="00000000" w:rsidR="00000000" w:rsidRPr="00000000">
        <w:rPr>
          <w:rtl w:val="0"/>
        </w:rPr>
      </w:r>
    </w:p>
    <w:p w:rsidR="00000000" w:rsidDel="00000000" w:rsidP="00000000" w:rsidRDefault="00000000" w:rsidRPr="00000000" w14:paraId="00000020">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Both decisions were driven by the constraints of operating on a free tier API with daily token quotas and per-request context limits. History trimming to two exchanges was arrived at empirically. Longer histories of five exchanges consistently exhausted context input limits and accelerated daily quota consumption, while two exchanges was the minimum that preserved coherent multi-turn conversation. The recursion limit of 10 was set as a safeguard against infinite loops that would rapidly exhaust the token budget. With five tools currently available, the theoretical maximum productive node visits per turn is well below 10, making the current value conservative. Empirical optimisation of this limit for the current tool count is identified as a future improvement.</w:t>
      </w:r>
      <w:r w:rsidDel="00000000" w:rsidR="00000000" w:rsidRPr="00000000">
        <w:rPr>
          <w:rtl w:val="0"/>
        </w:rPr>
      </w:r>
    </w:p>
    <w:p w:rsidR="00000000" w:rsidDel="00000000" w:rsidP="00000000" w:rsidRDefault="00000000" w:rsidRPr="00000000" w14:paraId="00000021">
      <w:pPr>
        <w:spacing w:after="80" w:lineRule="auto"/>
        <w:rPr/>
      </w:pPr>
      <w:r w:rsidDel="00000000" w:rsidR="00000000" w:rsidRPr="00000000">
        <w:rPr>
          <w:rtl w:val="0"/>
        </w:rPr>
      </w:r>
    </w:p>
    <w:p w:rsidR="00000000" w:rsidDel="00000000" w:rsidP="00000000" w:rsidRDefault="00000000" w:rsidRPr="00000000" w14:paraId="00000022">
      <w:pPr>
        <w:spacing w:after="80" w:before="240" w:lineRule="auto"/>
        <w:rPr/>
      </w:pPr>
      <w:r w:rsidDel="00000000" w:rsidR="00000000" w:rsidRPr="00000000">
        <w:rPr>
          <w:rFonts w:ascii="Arial" w:cs="Arial" w:eastAsia="Arial" w:hAnsi="Arial"/>
          <w:b w:val="1"/>
          <w:bCs w:val="1"/>
          <w:sz w:val="22"/>
          <w:szCs w:val="22"/>
          <w:rtl w:val="0"/>
        </w:rPr>
        <w:t xml:space="preserve">Decision 8: Streamlit Frontend Hosted on Hugging Face Spaces</w:t>
      </w:r>
      <w:r w:rsidDel="00000000" w:rsidR="00000000" w:rsidRPr="00000000">
        <w:rPr>
          <w:rtl w:val="0"/>
        </w:rPr>
      </w:r>
    </w:p>
    <w:p w:rsidR="00000000" w:rsidDel="00000000" w:rsidP="00000000" w:rsidRDefault="00000000" w:rsidRPr="00000000" w14:paraId="00000023">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Streamlit was selected as the frontend framework and the application was deployed on Hugging Face Spaces, with no FastAPI layer introduced.</w:t>
      </w:r>
      <w:r w:rsidDel="00000000" w:rsidR="00000000" w:rsidRPr="00000000">
        <w:rPr>
          <w:rtl w:val="0"/>
        </w:rPr>
      </w:r>
    </w:p>
    <w:p w:rsidR="00000000" w:rsidDel="00000000" w:rsidP="00000000" w:rsidRDefault="00000000" w:rsidRPr="00000000" w14:paraId="00000024">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Streamlit provides native support for chat interfaces and session state management, making it a natural fit for a conversational BI agent with minimal frontend development overhead. Hugging Face Spaces was selected because it natively supports Streamlit-based deployments on a free tier, eliminating all infrastructure overhead. The frontend and deployment choice were made together. Hugging Face's Streamlit support informed the frontend decision, and the frontend decision confirmed that a FastAPI layer was unnecessary. Co-locating the frontend and backend within a single Streamlit process meant there was no client-server boundary to bridge, making a REST API layer an addition of complexity with no architectural benefit at this stage. The combined decision allowed the prototype to be shipped rapidly at zero infrastructure cost.</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rFonts w:ascii="Arial" w:cs="Arial" w:eastAsia="Arial" w:hAnsi="Arial"/>
          <w:b w:val="1"/>
          <w:bCs w:val="1"/>
          <w:sz w:val="22"/>
          <w:szCs w:val="22"/>
          <w:rtl w:val="0"/>
        </w:rPr>
        <w:t xml:space="preserve">Alternatives considered: </w:t>
      </w:r>
      <w:r w:rsidDel="00000000" w:rsidR="00000000" w:rsidRPr="00000000">
        <w:rPr>
          <w:rFonts w:ascii="Arial" w:cs="Arial" w:eastAsia="Arial" w:hAnsi="Arial"/>
          <w:sz w:val="22"/>
          <w:szCs w:val="22"/>
          <w:rtl w:val="0"/>
        </w:rPr>
        <w:t xml:space="preserve">Separate FastAPI backend with a frontend hosted elsewhere. Rejected as unnecessarily complex for a prototype with a co-located frontend and backend.</w:t>
      </w:r>
      <w:r w:rsidDel="00000000" w:rsidR="00000000" w:rsidRPr="00000000">
        <w:rPr>
          <w:rtl w:val="0"/>
        </w:rPr>
      </w:r>
    </w:p>
    <w:p w:rsidR="00000000" w:rsidDel="00000000" w:rsidP="00000000" w:rsidRDefault="00000000" w:rsidRPr="00000000" w14:paraId="00000026">
      <w:pPr>
        <w:spacing w:after="80" w:lineRule="auto"/>
        <w:rPr/>
      </w:pPr>
      <w:r w:rsidDel="00000000" w:rsidR="00000000" w:rsidRPr="00000000">
        <w:rPr>
          <w:rtl w:val="0"/>
        </w:rPr>
      </w:r>
    </w:p>
    <w:p w:rsidR="00000000" w:rsidDel="00000000" w:rsidP="00000000" w:rsidRDefault="00000000" w:rsidRPr="00000000" w14:paraId="00000027">
      <w:pPr>
        <w:spacing w:after="80" w:before="240" w:lineRule="auto"/>
        <w:rPr/>
      </w:pPr>
      <w:r w:rsidDel="00000000" w:rsidR="00000000" w:rsidRPr="00000000">
        <w:rPr>
          <w:rFonts w:ascii="Arial" w:cs="Arial" w:eastAsia="Arial" w:hAnsi="Arial"/>
          <w:b w:val="1"/>
          <w:bCs w:val="1"/>
          <w:sz w:val="22"/>
          <w:szCs w:val="22"/>
          <w:rtl w:val="0"/>
        </w:rPr>
        <w:t xml:space="preserve">Decision 9: Modular Code Organisation</w:t>
      </w:r>
      <w:r w:rsidDel="00000000" w:rsidR="00000000" w:rsidRPr="00000000">
        <w:rPr>
          <w:rtl w:val="0"/>
        </w:rPr>
      </w:r>
    </w:p>
    <w:p w:rsidR="00000000" w:rsidDel="00000000" w:rsidP="00000000" w:rsidRDefault="00000000" w:rsidRPr="00000000" w14:paraId="00000028">
      <w:pPr>
        <w:spacing w:after="60" w:before="60" w:lineRule="auto"/>
        <w:rPr/>
      </w:pPr>
      <w:r w:rsidDel="00000000" w:rsidR="00000000" w:rsidRPr="00000000">
        <w:rPr>
          <w:rFonts w:ascii="Arial" w:cs="Arial" w:eastAsia="Arial" w:hAnsi="Arial"/>
          <w:b w:val="1"/>
          <w:bCs w:val="1"/>
          <w:sz w:val="22"/>
          <w:szCs w:val="22"/>
          <w:rtl w:val="0"/>
        </w:rPr>
        <w:t xml:space="preserve">Decision: </w:t>
      </w:r>
      <w:r w:rsidDel="00000000" w:rsidR="00000000" w:rsidRPr="00000000">
        <w:rPr>
          <w:rFonts w:ascii="Arial" w:cs="Arial" w:eastAsia="Arial" w:hAnsi="Arial"/>
          <w:sz w:val="22"/>
          <w:szCs w:val="22"/>
          <w:rtl w:val="0"/>
        </w:rPr>
        <w:t xml:space="preserve">The agent was structured as a Python package with dedicated modules for graph logic, tools, normalization, prompts, and configuration, with each module extracted incrementally as its responsibility grew.</w:t>
      </w:r>
      <w:r w:rsidDel="00000000" w:rsidR="00000000" w:rsidRPr="00000000">
        <w:rPr>
          <w:rtl w:val="0"/>
        </w:rPr>
      </w:r>
    </w:p>
    <w:p w:rsidR="00000000" w:rsidDel="00000000" w:rsidP="00000000" w:rsidRDefault="00000000" w:rsidRPr="00000000" w14:paraId="00000029">
      <w:pPr>
        <w:spacing w:after="60" w:before="60" w:lineRule="auto"/>
        <w:rPr/>
      </w:pPr>
      <w:r w:rsidDel="00000000" w:rsidR="00000000" w:rsidRPr="00000000">
        <w:rPr>
          <w:rFonts w:ascii="Arial" w:cs="Arial" w:eastAsia="Arial" w:hAnsi="Arial"/>
          <w:b w:val="1"/>
          <w:bCs w:val="1"/>
          <w:sz w:val="22"/>
          <w:szCs w:val="22"/>
          <w:rtl w:val="0"/>
        </w:rPr>
        <w:t xml:space="preserve">Reasoning: </w:t>
      </w:r>
      <w:r w:rsidDel="00000000" w:rsidR="00000000" w:rsidRPr="00000000">
        <w:rPr>
          <w:rFonts w:ascii="Arial" w:cs="Arial" w:eastAsia="Arial" w:hAnsi="Arial"/>
          <w:sz w:val="22"/>
          <w:szCs w:val="22"/>
          <w:rtl w:val="0"/>
        </w:rPr>
        <w:t xml:space="preserve">The project began with just graph.py and tools.py. As development progressed, responsibilities grew in ways that justified dedicated modules. Data cleaning logic began as inline functions within tools.py but expanded substantially as manual inspection revealed progressively more data quality issues, which warranted extraction into a dedicated normalizer.py. Configuration parameters including board IDs, column maps, sector canonicalization, and known header labels proliferated to the point where co-locating them with business logic created maintenance risk, prompting extraction into config.py. The system prompt grew too large and too frequently iterated to sit alongside graph logic, leading to a dedicated prompts.py. The final package structure reflects an emergent separation of concerns driven by real complexity rather than premature over-engineering. Each module is independently maintainable, testable, and extensible.</w:t>
      </w:r>
      <w:r w:rsidDel="00000000" w:rsidR="00000000" w:rsidRPr="00000000">
        <w:rPr>
          <w:rtl w:val="0"/>
        </w:rPr>
      </w:r>
    </w:p>
    <w:p w:rsidR="00000000" w:rsidDel="00000000" w:rsidP="00000000" w:rsidRDefault="00000000" w:rsidRPr="00000000" w14:paraId="0000002A">
      <w:pPr>
        <w:spacing w:after="80" w:lineRule="auto"/>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gtAZx0niZML+ww0YPM/cDRYsSQ==">CgMxLjA4AHIhMTU3QzBnUC0yZmdXTlc5YjlLb3FHcG0wcC1OODZ6NU03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2026-03-08T11:28:04.006Z</dcterms:created>
  <dc:creator>Un-named</dc:creator>
</cp:coreProperties>
</file>

<file path=docProps/custom.xml><?xml version="1.0" encoding="utf-8"?>
<Properties xmlns="http://schemas.openxmlformats.org/officeDocument/2006/custom-properties" xmlns:vt="http://schemas.openxmlformats.org/officeDocument/2006/docPropsVTypes"/>
</file>