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BI Agent — Architecture &amp; Design Decision Log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records the key architectural, engineering, and design decisions made during the development of the BI Agent prototype. Each entry captures the decision made, the reasoning behind it, alternatives considered, and known trade-offs or future improvements where applicable.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Decision 1: Agent Architecture — LangGraph and ReAct Pattern</w:t>
      </w:r>
    </w:p>
    <w:p w:rsidR="00000000" w:rsidDel="00000000" w:rsidP="00000000" w:rsidRDefault="00000000" w:rsidRPr="00000000" w14:paraId="00000006">
      <w:pPr>
        <w:ind w:left="720" w:firstLine="0"/>
        <w:rPr/>
      </w:pPr>
      <w:r w:rsidDel="00000000" w:rsidR="00000000" w:rsidRPr="00000000">
        <w:rPr>
          <w:rtl w:val="0"/>
        </w:rPr>
        <w:t xml:space="preserve">Decision: LangGraph was selected as the orchestration framework and the ReAct (Reasoning and Acting) pattern was adopted as the core agent reasoning strategy.</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Reasoning: LangGraph provides a declarative graph abstraction for defining nodes and edges with structured state management and deterministic control flow. ReAct gives the agent an explicit reasoning step before every action, reducing erroneous or speculative tool calls. For the current five-tool implementation, both choices add limited immediate complexity overhead — a simple loop with keyword-based tool selection would be functionally sufficient. However, as the tool set grows and queries become more complex — spanning multiple boards, requiring conditional logic, or involving multi-step reasoning — LangGraph's graph structure and ReAct's reasoning discipline ensure the agent scales without requiring architectural rewrites. Both decisions reflect deliberate future-proofing with negligible cost at the prototype stage.</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Alternatives considered: A hand-coded while loop invoking tools directly. Rejected because it offers no state management guarantees and would require significant refactoring to support more complex workflows.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9"/>
        </w:numPr>
        <w:ind w:left="720" w:hanging="360"/>
        <w:rPr>
          <w:u w:val="none"/>
        </w:rPr>
      </w:pPr>
      <w:r w:rsidDel="00000000" w:rsidR="00000000" w:rsidRPr="00000000">
        <w:rPr>
          <w:rtl w:val="0"/>
        </w:rPr>
        <w:t xml:space="preserve">Decision 2: LLM Provider — Groq with Llama 3.3 70B</w:t>
      </w:r>
    </w:p>
    <w:p w:rsidR="00000000" w:rsidDel="00000000" w:rsidP="00000000" w:rsidRDefault="00000000" w:rsidRPr="00000000" w14:paraId="0000000D">
      <w:pPr>
        <w:ind w:left="720" w:firstLine="0"/>
        <w:rPr/>
      </w:pPr>
      <w:r w:rsidDel="00000000" w:rsidR="00000000" w:rsidRPr="00000000">
        <w:rPr>
          <w:rtl w:val="0"/>
        </w:rPr>
        <w:t xml:space="preserve">Decision: Groq was selected as the LLM provider with Llama 3.3 70B as the model.</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Reasoning: Groq's free tier offers significantly faster inference speeds compared to alternatives and was the most practical choice for a prototype operating under zero infrastructure cost constraints. Gemini was evaluated first but its free quota was exhausted during early prototyping. Llama 3.3 70B was selected specifically for its large context window and native tool-calling capability — both non-negotiable requirements for a multi-tool ReAct agent. Several token optimization measures were implemented in parallel to operate reliably within Groq's free tier rate limits, including conversation history trimming, compact tool payloads, and structured data quality dictionaries rather than verbose text responses.</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Alternatives considered: Gemini (evaluated, free quota exhausted early), OpenAI GPT-4 (paid tier, ruled out on cost grounds at prototype stage).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Decision 3: Five Dedicated Tools Rather Than a Single Parameterised Tool</w:t>
      </w:r>
    </w:p>
    <w:p w:rsidR="00000000" w:rsidDel="00000000" w:rsidP="00000000" w:rsidRDefault="00000000" w:rsidRPr="00000000" w14:paraId="00000014">
      <w:pPr>
        <w:ind w:left="720" w:firstLine="0"/>
        <w:rPr/>
      </w:pPr>
      <w:r w:rsidDel="00000000" w:rsidR="00000000" w:rsidRPr="00000000">
        <w:rPr>
          <w:rtl w:val="0"/>
        </w:rPr>
        <w:t xml:space="preserve">Decision: The agent exposes five distinct tools each scoped to a specific analytical domain, rather than one or two generic tools with broad parameters.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Reasoning: Tool boundaries were defined after manual inspection of both datasets to identify what analysis was actually feasible given the data quality. The multi-tool approach carries a concrete token efficiency advantage for a free tier API — each tool returns only its relevant data slice, so the LLM consumes tokens only for what it needs to answer the specific question asked. A single combined tool would return bulk output and require the LLM to filter relevant information internally, consuming significantly more tokens per query. The dedicated tool approach also simplifies problem scope at the prototype stage and makes each tool independently testable and maintainable.</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Trade-off acknowledged: As the agent's complexity grows and data quality improves, merging related tools and introducing parameter-based filtering would be more efficient. Combining tools with optional filter arguments — for sector, owner, deal status, and priority flags — is identified as a planned v2 improvement.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Decision 4: No Join Between the Two Boards</w:t>
      </w:r>
    </w:p>
    <w:p w:rsidR="00000000" w:rsidDel="00000000" w:rsidP="00000000" w:rsidRDefault="00000000" w:rsidRPr="00000000" w14:paraId="0000001B">
      <w:pPr>
        <w:ind w:left="720" w:firstLine="0"/>
        <w:rPr/>
      </w:pPr>
      <w:r w:rsidDel="00000000" w:rsidR="00000000" w:rsidRPr="00000000">
        <w:rPr>
          <w:rtl w:val="0"/>
        </w:rPr>
        <w:t xml:space="preserve">Decision: The Deal Funnel and Work Orders boards are treated as independent analytical domains with no join implemented between them.</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Reasoning: Although the two boards conceptually represent the sales-to-delivery pipeline — a won deal in the funnel becoming a work order — no reliable shared key was identified between them during data inspection. Masked identifiers and inconsistent naming conventions across boards made any attempted join unreliable and likely to produce misleading aggregations. Rather than implement a join on an uncertain foreign key relationship, the decision was made to scope each tool to its own board and treat cross-board linkage as a future architectural requirement once a canonical key is established.</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Future improvement: Establish a reliable foreign key between the two boards and implement cross-board aggregations to enable pipeline conversion analysis — tracking deals from the funnel through to contracted, billed, and collected value.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Decision 5: Data Quality Strategy — Canonicalization and Explicit Quality Reporting</w:t>
      </w:r>
    </w:p>
    <w:p w:rsidR="00000000" w:rsidDel="00000000" w:rsidP="00000000" w:rsidRDefault="00000000" w:rsidRPr="00000000" w14:paraId="00000022">
      <w:pPr>
        <w:ind w:left="720" w:firstLine="0"/>
        <w:rPr/>
      </w:pPr>
      <w:r w:rsidDel="00000000" w:rsidR="00000000" w:rsidRPr="00000000">
        <w:rPr>
          <w:rtl w:val="0"/>
        </w:rPr>
        <w:t xml:space="preserve">Decision: A sector canonicalization map was maintained in configuration to normalize name variants, and every tool response includes an explicit data quality dictionary surfacing missing value counts per column. The system prompt mandates that the LLM always present these as caveats with impact ratings.</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Reasoning: Manual inspection of both datasets revealed significant data quality issues — sector names appeared under multiple spelling variants across boards, key analytical columns had substantial missing values, and some aggregations were materially skewed as a result. The canonicalization map was built from observed variants in the data — for example mapping `"railway"`, `"power-line"`, and `"renewable"` to their canonical forms — ensuring groupby aggregations produce clean, consolidated results. The data quality reporting mechanism was introduced after early test outputs produced analysis that appeared plausible but was unreliable due to missing values. By making the LLM explicitly caveat every response with field-level missing data counts and HIGH, MODERATE, or LOW impact ratings, the agent actively signals the reliability of its own outputs rather than presenting skewed figures with false confidence. The intentional messiness of the source dataset — including embedded header rows exported as data rows, duplicate records, and inconsistent formatting — was identified through manual inspection and is noted as a deliberate characteristic of the assignment dataset designed to test data handling capability.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Decision 6: System Prompt as a Living Engineering Artifact</w:t>
      </w:r>
    </w:p>
    <w:p w:rsidR="00000000" w:rsidDel="00000000" w:rsidP="00000000" w:rsidRDefault="00000000" w:rsidRPr="00000000" w14:paraId="00000027">
      <w:pPr>
        <w:ind w:left="720" w:firstLine="0"/>
        <w:rPr/>
      </w:pPr>
      <w:r w:rsidDel="00000000" w:rsidR="00000000" w:rsidRPr="00000000">
        <w:rPr>
          <w:rtl w:val="0"/>
        </w:rPr>
        <w:t xml:space="preserve">Decision: The system prompt was treated as an iteratively refined engineering artifact rather than a static instruction file, and maintained in a dedicated `prompts.py` module.</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Reasoning: The prompt evolved through repeated testing cycles where specific observed failures were addressed with targeted instructions. Unsorted breakdowns prompted an explicit sort order instruction. Skipped or inconsistent caveats prompted mandatory formatting rules with impact thresholds. Vague or buried answers prompted the instruction to always lead with the headline figure. Unhelpful responses to open-ended queries prompted a follow-up question suggestion mechanism to guide users toward what the agent can answer — an important UX decision given the prototype's deliberately limited analytical scope. The final prompt encodes accumulated prompt engineering knowledge specific to this application. It is acknowledged that some instructions — such as sort order — are prompt engineering workarounds for behaviour that is more correctly handled in the processing layer, and these are flagged as technical debt to address in a subsequent version.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Decision 7: Token and Context Optimizations</w:t>
      </w:r>
    </w:p>
    <w:p w:rsidR="00000000" w:rsidDel="00000000" w:rsidP="00000000" w:rsidRDefault="00000000" w:rsidRPr="00000000" w14:paraId="0000002C">
      <w:pPr>
        <w:ind w:left="720" w:firstLine="0"/>
        <w:rPr/>
      </w:pPr>
      <w:r w:rsidDel="00000000" w:rsidR="00000000" w:rsidRPr="00000000">
        <w:rPr>
          <w:rtl w:val="0"/>
        </w:rPr>
        <w:t xml:space="preserve">Decision: Conversation history passed to the LLM is trimmed to the last two exchanges per turn, and the LangGraph recursion limit is set to 10 nodes per turn.</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Reasoning: Both decisions were driven by the constraints of operating on a free tier API with daily token quotas and per-request context limits. History trimming to two exchanges was arrived at empirically — longer histories of five exchanges consistently exhausted context input limits and accelerated daily quota consumption, while two exchanges was the minimum that preserved coherent multi-turn conversation. The recursion limit of 10 was set as a safeguard against infinite loops that would rapidly exhaust the token budget. With five tools currently available, the theoretical maximum productive node visits per turn is well below 10, making the current value conservative. Empirical optimisation of this limit for the current tool count is identified as a future improvement. On a paid tier with higher limits, both values would be candidates for reconfiguration.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8"/>
        </w:numPr>
        <w:ind w:left="720" w:hanging="360"/>
        <w:rPr>
          <w:u w:val="none"/>
        </w:rPr>
      </w:pPr>
      <w:r w:rsidDel="00000000" w:rsidR="00000000" w:rsidRPr="00000000">
        <w:rPr>
          <w:rtl w:val="0"/>
        </w:rPr>
        <w:t xml:space="preserve">Decision 8: Streamlit Frontend Hosted on Hugging Face Spaces</w:t>
      </w:r>
    </w:p>
    <w:p w:rsidR="00000000" w:rsidDel="00000000" w:rsidP="00000000" w:rsidRDefault="00000000" w:rsidRPr="00000000" w14:paraId="00000031">
      <w:pPr>
        <w:ind w:left="720" w:firstLine="0"/>
        <w:rPr/>
      </w:pPr>
      <w:r w:rsidDel="00000000" w:rsidR="00000000" w:rsidRPr="00000000">
        <w:rPr>
          <w:rtl w:val="0"/>
        </w:rPr>
        <w:t xml:space="preserve">Decision: Streamlit was selected as the frontend framework and the application was deployed on Hugging Face Spaces, with no FastAPI layer introduced.</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Reasoning: Streamlit provides native support for chat interfaces and session state management, making it a natural fit for a conversational BI agent with minimal frontend development overhead. Hugging Face Spaces was selected because it natively supports Streamlit-based deployments on a free tier, eliminating all infrastructure overhead. The frontend and deployment choice were made together — Hugging Face's Streamlit support informed the frontend decision, and the frontend decision confirmed that a FastAPI layer was unnecessary. Co-locating the frontend and backend within a single Streamlit process meant there was no client-server boundary to bridge, making a REST API layer an addition of complexity with no architectural benefit at this stage. The combined decision allowed the prototype to be shipped rapidly at zero infrastructure cost.</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Alternatives considered: Separate FastAPI backend with a frontend hosted elsewhere. Rejected as unnecessarily complex for a prototype with a co-located frontend and backend.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Decision 9: Modular Code Organisation</w:t>
      </w:r>
    </w:p>
    <w:p w:rsidR="00000000" w:rsidDel="00000000" w:rsidP="00000000" w:rsidRDefault="00000000" w:rsidRPr="00000000" w14:paraId="00000038">
      <w:pPr>
        <w:ind w:left="720" w:firstLine="0"/>
        <w:rPr/>
      </w:pPr>
      <w:r w:rsidDel="00000000" w:rsidR="00000000" w:rsidRPr="00000000">
        <w:rPr>
          <w:rtl w:val="0"/>
        </w:rPr>
        <w:t xml:space="preserve">Decision: The agent was structured as a Python package with dedicated modules for graph logic, tools, normalization, prompts, and configuration, with each module extracted incrementally as its responsibility grew.</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Reasoning: The project began with just `graph.py` and `tools.py`. As development progressed, responsibilities grew in ways that justified dedicated modules. Data cleaning logic began as inline functions within `tools.py` but expanded substantially as manual inspection revealed progressively more data quality issues, warranting extraction into a dedicated `normalizer.py`. Configuration parameters — board IDs, column maps, sector canonicalization, known header labels — proliferated to the point where co-locating them with business logic created maintenance risk, prompting extraction into `config.py`. The system prompt grew too large and too frequently iterated to sit alongside graph logic, leading to a dedicated `prompts.py`. The final package structure reflects an emergent separation of concerns driven by real complexity rather than premature over-engineering. Each module is independently maintainable, testable, and extensible.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