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KỸ THUẬT VÀ CÔNG NGHỆ</w:t>
      </w:r>
    </w:p>
    <w:p>
      <w:pPr>
        <w:spacing w:lineRule="auto" w:line="288" w:before="0" w:after="360"/>
        <w:jc w:val="center"/>
      </w:pPr>
      <w:r>
        <w:rPr>
          <w:rFonts w:ascii="Times New Roman" w:hAnsi="Times New Roman" w:cs="Times New Roman" w:eastAsia="Times New Roman"/>
          <w:b/>
          <w:i w:val="0"/>
          <w:sz w:val="28"/>
        </w:rPr>
        <w:t>KHOA CÔNG NGHỆ THÔNG TIN</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ThS. Nguyễn Nhứt Lam</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Nguyễn Hồng Quân</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170123592</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DX23TT11</w:t>
      </w:r>
    </w:p>
    <w:p>
      <w:pPr>
        <w:spacing w:lineRule="auto" w:line="288" w:before="960" w:after="0"/>
        <w:jc w:val="center"/>
      </w:pPr>
      <w:r>
        <w:rPr>
          <w:rFonts w:ascii="Times New Roman" w:hAnsi="Times New Roman" w:cs="Times New Roman" w:eastAsia="Times New Roman"/>
          <w:b w:val="0"/>
          <w:i/>
          <w:sz w:val="26"/>
        </w:rPr>
        <w:t>TP. Hồ Chí Minh, tháng 9 năm 2026</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15</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16</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Tên đề tài cho biết sản phẩm, đối tượng áp dụng và phạm vi không gian. Vấn đề nghiên cứu không đưa vào tên cho gọn, và được trình bày ở mục 2.2 cùng mục 3.3.</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Khảo sát thực tế vận hành của nhóm cơ sở lưu trú này cho thấy ba vấn đề sau.</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Đề tài không dừng ở mức làm một trang web quản lý. Bài toán cốt lõi là không được bán trùng một phòng khi có nhiều yêu cầu đồng thời. Đây là một bài toán tranh chấp dữ liệu kinh điển, và không giải đúng được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không đóng được khe hở này.</w:t>
      </w:r>
    </w:p>
    <w:p>
      <w:pPr>
        <w:spacing w:lineRule="auto" w:line="360" w:before="120" w:after="120"/>
        <w:jc w:val="both"/>
      </w:pPr>
      <w:r>
        <w:rPr>
          <w:rFonts w:ascii="Times New Roman" w:hAnsi="Times New Roman" w:cs="Times New Roman" w:eastAsia="Times New Roman"/>
          <w:b w:val="0"/>
          <w:i w:val="0"/>
          <w:sz w:val="26"/>
        </w:rPr>
        <w:t>Giải quyết đúng đòi hỏi hiểu biết về giao dịch, mức cô lập và ràng buộc toàn vẹn ở tầng lưu trữ. Đây là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Bài toán đặt phòng trực tuyến đã có nhiều lời giải. Mục này khảo sát ba nhóm giải pháp đang tồn tại và chỉ ra phần mà chúng chưa đáp ứng cho một homestay quy mô nhỏ.</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Các sàn trung gian (Booking.com, Agoda, Airbnb, Traveloka) làm tốt hai việc mà một homestay đơn lẻ không tự làm được, là mang khách tới và giữ chỗ đúng.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Phần các sàn không giải quyết cho chủ homestay là chi phí và quyền kiểm soát. Theo biểu phí công bố trên trang dành cho đối tác của các sàn, mức hoa hồng phổ biến nằm trong khoảng 15–20% giá trị mỗi đơn. Cơ sở lưu trú cũng không nắm dữ liệu khách của chính mình và không đặt được quy tắc đặt phòng riêng. Ngoài ra, khi dùng nhiều sàn cùng lúc mà không đồng bộ lịch, rủi ro đặt trùng phòng xuất hiện trở lại ở một chỗ khác, là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Vì không mở mã nguồn, chúng không dùng được làm đối tượng nghiên cứu về cách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độ phủ chức năng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kịch bản nhiều người đặt cùng lúc thường không được kiểm thử. Lỗi đặt trùng phòng vì vậy không xuất hiện khi chạy thử một người, nên không bị phát hiện,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center"/>
            </w:pPr>
            <w:r/>
            <w:r>
              <w:rPr>
                <w:rFonts w:ascii="Times New Roman" w:hAnsi="Times New Roman" w:cs="Times New Roman" w:eastAsia="Times New Roman"/>
                <w:b w:val="0"/>
                <w:i w:val="0"/>
                <w:sz w:val="22"/>
              </w:rPr>
              <w:t>Có</w:t>
            </w:r>
          </w:p>
        </w:tc>
        <w:tc>
          <w:tcPr>
            <w:tcW w:type="dxa" w:w="1814"/>
          </w:tcPr>
          <w:p>
            <w:pPr>
              <w:spacing w:lineRule="auto" w:line="240" w:before="20" w:after="20"/>
              <w:jc w:val="center"/>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center"/>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center"/>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center"/>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center"/>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center"/>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center"/>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center"/>
            </w:pPr>
            <w:r/>
            <w:r>
              <w:rPr>
                <w:rFonts w:ascii="Times New Roman" w:hAnsi="Times New Roman" w:cs="Times New Roman" w:eastAsia="Times New Roman"/>
                <w:b w:val="0"/>
                <w:i w:val="0"/>
                <w:sz w:val="22"/>
              </w:rPr>
              <w:t>15–20%/đơn</w:t>
            </w:r>
          </w:p>
        </w:tc>
        <w:tc>
          <w:tcPr>
            <w:tcW w:type="dxa" w:w="1814"/>
          </w:tcPr>
          <w:p>
            <w:pPr>
              <w:spacing w:lineRule="auto" w:line="240" w:before="20" w:after="20"/>
              <w:jc w:val="center"/>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center"/>
            </w:pPr>
            <w:r/>
            <w:r>
              <w:rPr>
                <w:rFonts w:ascii="Times New Roman" w:hAnsi="Times New Roman" w:cs="Times New Roman" w:eastAsia="Times New Roman"/>
                <w:b w:val="0"/>
                <w:i w:val="0"/>
                <w:sz w:val="22"/>
              </w:rPr>
              <w:t>—</w:t>
            </w:r>
          </w:p>
        </w:tc>
        <w:tc>
          <w:tcPr>
            <w:tcW w:type="dxa" w:w="1814"/>
          </w:tcPr>
          <w:p>
            <w:pPr>
              <w:spacing w:lineRule="auto" w:line="240" w:before="20" w:after="20"/>
              <w:jc w:val="center"/>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center"/>
            </w:pPr>
            <w:r/>
            <w:r>
              <w:rPr>
                <w:rFonts w:ascii="Times New Roman" w:hAnsi="Times New Roman" w:cs="Times New Roman" w:eastAsia="Times New Roman"/>
                <w:b w:val="0"/>
                <w:i w:val="0"/>
                <w:sz w:val="22"/>
              </w:rPr>
              <w:t>Không</w:t>
            </w:r>
          </w:p>
        </w:tc>
        <w:tc>
          <w:tcPr>
            <w:tcW w:type="dxa" w:w="1814"/>
          </w:tcPr>
          <w:p>
            <w:pPr>
              <w:spacing w:lineRule="auto" w:line="240" w:before="20" w:after="20"/>
              <w:jc w:val="center"/>
            </w:pPr>
            <w:r/>
            <w:r>
              <w:rPr>
                <w:rFonts w:ascii="Times New Roman" w:hAnsi="Times New Roman" w:cs="Times New Roman" w:eastAsia="Times New Roman"/>
                <w:b w:val="0"/>
                <w:i w:val="0"/>
                <w:sz w:val="22"/>
              </w:rPr>
              <w:t>Tuỳ</w:t>
            </w:r>
          </w:p>
        </w:tc>
        <w:tc>
          <w:tcPr>
            <w:tcW w:type="dxa" w:w="1814"/>
          </w:tcPr>
          <w:p>
            <w:pPr>
              <w:spacing w:lineRule="auto" w:line="240" w:before="20" w:after="20"/>
              <w:jc w:val="center"/>
            </w:pPr>
            <w:r/>
            <w:r>
              <w:rPr>
                <w:rFonts w:ascii="Times New Roman" w:hAnsi="Times New Roman" w:cs="Times New Roman" w:eastAsia="Times New Roman"/>
                <w:b w:val="0"/>
                <w:i w:val="0"/>
                <w:sz w:val="22"/>
              </w:rPr>
              <w:t>—</w:t>
            </w:r>
          </w:p>
        </w:tc>
        <w:tc>
          <w:tcPr>
            <w:tcW w:type="dxa" w:w="1814"/>
          </w:tcPr>
          <w:p>
            <w:pPr>
              <w:spacing w:lineRule="auto" w:line="240" w:before="20" w:after="20"/>
              <w:jc w:val="center"/>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center"/>
            </w:pPr>
            <w:r/>
            <w:r>
              <w:rPr>
                <w:rFonts w:ascii="Times New Roman" w:hAnsi="Times New Roman" w:cs="Times New Roman" w:eastAsia="Times New Roman"/>
                <w:b w:val="0"/>
                <w:i w:val="0"/>
                <w:sz w:val="22"/>
              </w:rPr>
              <w:t>Không</w:t>
            </w:r>
          </w:p>
        </w:tc>
        <w:tc>
          <w:tcPr>
            <w:tcW w:type="dxa" w:w="1814"/>
          </w:tcPr>
          <w:p>
            <w:pPr>
              <w:spacing w:lineRule="auto" w:line="240" w:before="20" w:after="20"/>
              <w:jc w:val="center"/>
            </w:pPr>
            <w:r/>
            <w:r>
              <w:rPr>
                <w:rFonts w:ascii="Times New Roman" w:hAnsi="Times New Roman" w:cs="Times New Roman" w:eastAsia="Times New Roman"/>
                <w:b w:val="0"/>
                <w:i w:val="0"/>
                <w:sz w:val="22"/>
              </w:rPr>
              <w:t>Không</w:t>
            </w:r>
          </w:p>
        </w:tc>
        <w:tc>
          <w:tcPr>
            <w:tcW w:type="dxa" w:w="1814"/>
          </w:tcPr>
          <w:p>
            <w:pPr>
              <w:spacing w:lineRule="auto" w:line="240" w:before="20" w:after="20"/>
              <w:jc w:val="center"/>
            </w:pPr>
            <w:r/>
            <w:r>
              <w:rPr>
                <w:rFonts w:ascii="Times New Roman" w:hAnsi="Times New Roman" w:cs="Times New Roman" w:eastAsia="Times New Roman"/>
                <w:b w:val="0"/>
                <w:i w:val="0"/>
                <w:sz w:val="22"/>
              </w:rPr>
              <w:t>Có</w:t>
            </w:r>
          </w:p>
        </w:tc>
        <w:tc>
          <w:tcPr>
            <w:tcW w:type="dxa" w:w="1814"/>
          </w:tcPr>
          <w:p>
            <w:pPr>
              <w:spacing w:lineRule="auto" w:line="240" w:before="20" w:after="20"/>
              <w:jc w:val="center"/>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Khoảng trống không nằm ở chỗ chưa ai làm website đặt phòng, mà ở chỗ chưa có một lời giải mở, ở quy mô một homestay, đặt tính đúng đắn của việc giữ chỗ ở tầng cơ sở dữ liệu và chứng minh được điều đó bằng kiểm thử. Đề tài này nhắm vào khoảng trống đó.</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Xây dựng một website chạy được, có dữ liệu minh hoạ, giải quyết bài toán giới thiệu và đặt phòng cho homestay. Tính đúng đắn của việc chống đặt trùng phòng được chứng minh bằng kiểm thử.</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Mỗi mục tiêu đi kèm một tiêu chí nghiệm thu đo được:</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Đồ án trả lời bốn câu hỏi,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8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nội dung đề tài không thực hiện</w:t>
      </w:r>
    </w:p>
    <w:p>
      <w:pPr>
        <w:spacing w:lineRule="auto" w:line="360" w:before="120" w:after="120"/>
        <w:jc w:val="both"/>
      </w:pPr>
      <w:r>
        <w:rPr>
          <w:rFonts w:ascii="Times New Roman" w:hAnsi="Times New Roman" w:cs="Times New Roman" w:eastAsia="Times New Roman"/>
          <w:b w:val="0"/>
          <w:i w:val="0"/>
          <w:sz w:val="26"/>
        </w:rPr>
        <w:t>Những nội dung sau nằm ngoài phạm vi nghiệm thu:</w:t>
      </w:r>
    </w:p>
    <w:p>
      <w:pPr>
        <w:pStyle w:val="ListBullet"/>
        <w:spacing w:lineRule="auto" w:line="360" w:before="60" w:after="60"/>
        <w:jc w:val="both"/>
      </w:pPr>
      <w:r>
        <w:rPr>
          <w:rFonts w:ascii="Times New Roman" w:hAnsi="Times New Roman" w:cs="Times New Roman" w:eastAsia="Times New Roman"/>
          <w:b w:val="0"/>
          <w:i w:val="0"/>
          <w:sz w:val="26"/>
        </w:rPr>
        <w:t>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val="0"/>
          <w:i w:val="0"/>
          <w:sz w:val="26"/>
        </w:rPr>
        <w:t>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val="0"/>
          <w:i w:val="0"/>
          <w:sz w:val="26"/>
        </w:rPr>
        <w:t>Bảng giá theo từng đêm. Giá tính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val="0"/>
          <w:i w:val="0"/>
          <w:sz w:val="26"/>
        </w:rPr>
        <w:t>Đồng bộ lịch hai chiều với sàn trung gian.</w:t>
      </w:r>
    </w:p>
    <w:p>
      <w:pPr>
        <w:pStyle w:val="ListBullet"/>
        <w:spacing w:lineRule="auto" w:line="360" w:before="60" w:after="60"/>
        <w:jc w:val="both"/>
      </w:pPr>
      <w:r>
        <w:rPr>
          <w:rFonts w:ascii="Times New Roman" w:hAnsi="Times New Roman" w:cs="Times New Roman" w:eastAsia="Times New Roman"/>
          <w:b w:val="0"/>
          <w:i w:val="0"/>
          <w:sz w:val="26"/>
        </w:rPr>
        <w:t>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Bốn câu hỏi ở mục 3.3 tương ứng với ba giả thuyết. Mỗi giả thuyết nêu kèm điều kiện bác bỏ nó, để việc kiểm chứng ở mục 6.3 có căn cứ rõ ràng.</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Cách kiểm chứng từng giả thuyết trình bày ở mục 6.3.</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Để đạt tám mục tiêu ở mục 3.2, đề tài thực hiện sáu nhiệm vụ sau.</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phân tích các trang đặt phòng thương mại,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trọng tâm là kiểm thử đa luồng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Mỗi điều cần chứng minh đi kèm một cách kiểm chứng cụ thể và mục tiêu tương ứng:</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center"/>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Mục tiêu 8 (bộ tài liệu kỹ thuật) không có dòng trong Bảng 5, vì chất lượng tài liệu không đo được bằng một phép kiểm tự động. Mục tiêu này được nghiệm thu bằng cách đối chiếu từng mục tài liệu với hệ thống đang chạy.</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Đây là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spacing w:lineRule="auto" w:line="360" w:before="120" w:after="120"/>
        <w:jc w:val="both"/>
      </w:pPr>
      <w:r>
        <w:rPr>
          <w:rFonts w:ascii="Times New Roman" w:hAnsi="Times New Roman" w:cs="Times New Roman" w:eastAsia="Times New Roman"/>
          <w:b w:val="0"/>
          <w:i w:val="0"/>
          <w:sz w:val="26"/>
        </w:rPr>
        <w:t>Đề tài thực hiện trong tám tuần, phân chia theo bảng dưới đây.</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center"/>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center"/>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 nghiên cứu lý thuyết về giao dịch, mức cô lập và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 bản ghi chú lý thuyết</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CH1, CH2. Quyết định chọn hệ quản trị CSDL</w:t>
            </w:r>
          </w:p>
        </w:tc>
      </w:tr>
      <w:tr>
        <w:tc>
          <w:tcPr>
            <w:tcW w:type="dxa" w:w="2268"/>
          </w:tcPr>
          <w:p>
            <w:pPr>
              <w:spacing w:lineRule="auto" w:line="240" w:before="20" w:after="20"/>
              <w:jc w:val="center"/>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center"/>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center"/>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 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center"/>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 và quản lý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 đóng được phòng theo khoảng ngày</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center"/>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 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center"/>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 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 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center"/>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Viết Chương 3, 4, 5 kèm hình minh hoạ; xuất Word đúng định dạng; làm slide, poster và tập bảo vệ</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 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r>
              <w:rPr>
                <w:rFonts w:ascii="Times New Roman" w:hAnsi="Times New Roman" w:cs="Times New Roman" w:eastAsia="Times New Roman"/>
                <w:b w:val="0"/>
                <w:i w:val="0"/>
                <w:sz w:val="22"/>
              </w:rPr>
              <w:t>. Đếm trang trên bản đã xuất</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progress-report.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Không có commit thì dù có báo cáo tiến độ vẫn bị xem như không hoàn thành.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 xml:space="preserve">Danh mục dự kiến, ghi theo định dạng IEEE và </w:t>
      </w:r>
      <w:r>
        <w:rPr>
          <w:rFonts w:ascii="Times New Roman" w:hAnsi="Times New Roman" w:cs="Times New Roman" w:eastAsia="Times New Roman"/>
          <w:b/>
          <w:i w:val="0"/>
          <w:sz w:val="26"/>
        </w:rPr>
        <w:t>đánh số theo thứ tự từ điển</w:t>
      </w:r>
      <w:r>
        <w:rPr>
          <w:rFonts w:ascii="Times New Roman" w:hAnsi="Times New Roman" w:cs="Times New Roman" w:eastAsia="Times New Roman"/>
          <w:b w:val="0"/>
          <w:i w:val="0"/>
          <w:sz w:val="26"/>
        </w:rPr>
        <w:t xml:space="preserve"> đúng quy định của khoa. Bản đầy đủ hoàn thiện trong quyển báo cáo.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Angular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 Berenson, P. Bernstein, J. Gray, J. Melton, E. O'Neil và P. O'Neil, "A Critique of ANSI SQL Isolation Levels,"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Docker Compose và Testcontainers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 Fekete, D. Liarokapis, E. O'Neil, P. O'Neil và D. Shasha, "Making Snapshot Isolation Serializable,"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 R. K. Ports và K. Grittner, "Serializable Snapshot Isolation in PostgreSQL,"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Index Types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Range Types và Constraints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Transaction Isolation.</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tài liệu chính thức, phần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Theo quy định của khoa, bài đăng tạp chí còn thiếu tập, số và số trang; bài báo cáo hội nghị thiếu nơi và thời gian tổ chức; sách thiếu nơi xuất bản; tài liệu kỹ thuật trên mạng thiếu số phiên bản và ngày truy cập. Mức hoa hồng ở mục 2.3.1 phải dẫn đúng trang biểu phí đối tác của từng sàn, kèm ngày truy cập.</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12" w:before="40" w:after="40"/>
        <w:jc w:val="right"/>
      </w:pPr>
      <w:r>
        <w:rPr>
          <w:rFonts w:ascii="Times New Roman" w:hAnsi="Times New Roman" w:cs="Times New Roman" w:eastAsia="Times New Roman"/>
          <w:b w:val="0"/>
          <w:i/>
          <w:sz w:val="26"/>
        </w:rPr>
        <w:t>Ngày . . . tháng . . . năm 20 . . .</w:t>
      </w:r>
    </w:p>
    <w:p>
      <w:pPr>
        <w:spacing w:lineRule="auto" w:line="312" w:before="40" w:after="40"/>
        <w:jc w:val="right"/>
      </w:pPr>
      <w:r>
        <w:rPr>
          <w:rFonts w:ascii="Times New Roman" w:hAnsi="Times New Roman" w:cs="Times New Roman" w:eastAsia="Times New Roman"/>
          <w:b/>
          <w:i w:val="0"/>
          <w:sz w:val="26"/>
        </w:rPr>
        <w:t>Giảng viên hướng dẫn</w:t>
      </w:r>
    </w:p>
    <w:p>
      <w:pPr>
        <w:spacing w:lineRule="auto" w:line="312" w:before="40" w:after="40"/>
        <w:jc w:val="right"/>
      </w:pPr>
      <w:r>
        <w:rPr>
          <w:rFonts w:ascii="Times New Roman" w:hAnsi="Times New Roman" w:cs="Times New Roman" w:eastAsia="Times New Roman"/>
          <w:b w:val="0"/>
          <w:i/>
          <w:sz w:val="26"/>
        </w:rPr>
        <w:t>(Ký và ghi rõ họ tên)</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Nguyễn Hồng Quân  -  MSSV 170123592  -  Lớp DX23TT11</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