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 . . . . . . . . . . . . . .</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 . . . . . . . . . . . . . .</w:t>
      </w:r>
    </w:p>
    <w:p>
      <w:pPr>
        <w:spacing w:lineRule="auto" w:line="288" w:before="960" w:after="0"/>
        <w:jc w:val="center"/>
      </w:pPr>
      <w:r>
        <w:rPr>
          <w:rFonts w:ascii="Times New Roman" w:hAnsi="Times New Roman" w:cs="Times New Roman" w:eastAsia="Times New Roman"/>
          <w:b w:val="0"/>
          <w:i/>
          <w:sz w:val="26"/>
        </w:rPr>
        <w:t>Trà Vinh, tháng . . . năm 20 . . .</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9.1. Tiến độ theo tuần</w:t>
      </w:r>
      <w:r>
        <w:rPr>
          <w:rFonts w:ascii="Times New Roman" w:hAnsi="Times New Roman" w:cs="Times New Roman" w:eastAsia="Times New Roman"/>
          <w:b w:val="0"/>
          <w:i w:val="0"/>
          <w:sz w:val="26"/>
        </w:rPr>
        <w:tab/>
        <w:t>13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9.2. Rủi ro và phương án dự phòng</w:t>
      </w:r>
      <w:r>
        <w:rPr>
          <w:rFonts w:ascii="Times New Roman" w:hAnsi="Times New Roman" w:cs="Times New Roman" w:eastAsia="Times New Roman"/>
          <w:b w:val="0"/>
          <w:i w:val="0"/>
          <w:sz w:val="26"/>
        </w:rPr>
        <w:tab/>
        <w:t>14</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16</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17</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 . .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keepNext/>
        <w:spacing w:lineRule="auto" w:line="360" w:before="240" w:after="120"/>
        <w:jc w:val="left"/>
      </w:pPr>
      <w:r>
        <w:rPr>
          <w:rFonts w:ascii="Times New Roman" w:hAnsi="Times New Roman" w:cs="Times New Roman" w:eastAsia="Times New Roman"/>
          <w:b/>
          <w:i w:val="0"/>
          <w:sz w:val="26"/>
        </w:rPr>
        <w:t>9.1. Tiến độ theo tuần</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Nghiên cứu lý thuyết về giao dịch, mức cô lập,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Bản ghi chú lý thuyết trả lời CH1, CH2</w:t>
            </w:r>
          </w:p>
        </w:tc>
        <w:tc>
          <w:tcPr>
            <w:tcW w:type="dxa" w:w="2268"/>
          </w:tcPr>
          <w:p>
            <w:pPr>
              <w:spacing w:lineRule="auto" w:line="240" w:before="20" w:after="20"/>
              <w:jc w:val="left"/>
            </w:pPr>
            <w:r/>
            <w:r>
              <w:rPr>
                <w:rFonts w:ascii="Times New Roman" w:hAnsi="Times New Roman" w:cs="Times New Roman" w:eastAsia="Times New Roman"/>
                <w:b w:val="0"/>
                <w:i w:val="0"/>
                <w:sz w:val="22"/>
              </w:rPr>
              <w:t>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ngày khả dụng,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12</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Chương 3, 4, 5; chuẩn bị hình minh hoạ</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đầy đủ + bộ hình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13</w:t>
            </w:r>
          </w:p>
        </w:tc>
        <w:tc>
          <w:tcPr>
            <w:tcW w:type="dxa" w:w="2268"/>
          </w:tcPr>
          <w:p>
            <w:pPr>
              <w:spacing w:lineRule="auto" w:line="240" w:before="20" w:after="20"/>
              <w:jc w:val="left"/>
            </w:pPr>
            <w:r/>
            <w:r>
              <w:rPr>
                <w:rFonts w:ascii="Times New Roman" w:hAnsi="Times New Roman" w:cs="Times New Roman" w:eastAsia="Times New Roman"/>
                <w:b w:val="0"/>
                <w:i w:val="0"/>
                <w:sz w:val="22"/>
              </w:rPr>
              <w:t>Hoàn thiện, xuất Word đúng định dạng, kiểm số trang</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w:t>
            </w:r>
          </w:p>
        </w:tc>
        <w:tc>
          <w:tcPr>
            <w:tcW w:type="dxa" w:w="2268"/>
          </w:tcPr>
          <w:p>
            <w:pPr>
              <w:spacing w:lineRule="auto" w:line="240" w:before="20" w:after="20"/>
              <w:jc w:val="left"/>
            </w:pPr>
            <w:r/>
            <w:r>
              <w:rPr>
                <w:rFonts w:ascii="Times New Roman" w:hAnsi="Times New Roman" w:cs="Times New Roman" w:eastAsia="Times New Roman"/>
                <w:b w:val="0"/>
                <w:i w:val="0"/>
                <w:sz w:val="22"/>
              </w:rPr>
              <w:t>Đếm trang trên bản đã xuất</w:t>
            </w:r>
          </w:p>
        </w:tc>
      </w:tr>
      <w:tr>
        <w:tc>
          <w:tcPr>
            <w:tcW w:type="dxa" w:w="2268"/>
          </w:tcPr>
          <w:p>
            <w:pPr>
              <w:spacing w:lineRule="auto" w:line="240" w:before="20" w:after="20"/>
              <w:jc w:val="left"/>
            </w:pPr>
            <w:r/>
            <w:r>
              <w:rPr>
                <w:rFonts w:ascii="Times New Roman" w:hAnsi="Times New Roman" w:cs="Times New Roman" w:eastAsia="Times New Roman"/>
                <w:b/>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Làm slide, poster, tập bảo vệ và trả lời phản biện</w:t>
            </w:r>
          </w:p>
        </w:tc>
        <w:tc>
          <w:tcPr>
            <w:tcW w:type="dxa" w:w="2268"/>
          </w:tcPr>
          <w:p>
            <w:pPr>
              <w:spacing w:lineRule="auto" w:line="240" w:before="20" w:after="20"/>
              <w:jc w:val="left"/>
            </w:pPr>
            <w:r/>
            <w:r>
              <w:rPr>
                <w:rFonts w:ascii="Times New Roman" w:hAnsi="Times New Roman" w:cs="Times New Roman" w:eastAsia="Times New Roman"/>
                <w:b w:val="0"/>
                <w:i w:val="0"/>
                <w:sz w:val="22"/>
              </w:rPr>
              <w:t>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w:t>
      </w:r>
      <w:r>
        <w:rPr>
          <w:rFonts w:ascii="Consolas" w:hAnsi="Consolas" w:cs="Consolas" w:eastAsia="Consolas"/>
          <w:b w:val="0"/>
          <w:i w:val="0"/>
          <w:sz w:val="23"/>
        </w:rPr>
        <w:t>progress-report/</w:t>
      </w:r>
      <w:r>
        <w:rPr>
          <w:rFonts w:ascii="Times New Roman" w:hAnsi="Times New Roman" w:cs="Times New Roman" w:eastAsia="Times New Roman"/>
          <w:b w:val="0"/>
          <w:i w:val="0"/>
          <w:sz w:val="26"/>
        </w:rPr>
        <w:t xml:space="preserve">.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keepNext/>
        <w:spacing w:lineRule="auto" w:line="360" w:before="240" w:after="120"/>
        <w:jc w:val="left"/>
      </w:pPr>
      <w:r>
        <w:rPr>
          <w:rFonts w:ascii="Times New Roman" w:hAnsi="Times New Roman" w:cs="Times New Roman" w:eastAsia="Times New Roman"/>
          <w:b/>
          <w:i w:val="0"/>
          <w:sz w:val="26"/>
        </w:rPr>
        <w:t>9.2. Rủi ro và phương án dự phòng</w:t>
      </w:r>
    </w:p>
    <w:p>
      <w:pPr>
        <w:spacing w:lineRule="auto" w:line="360" w:before="120" w:after="120"/>
        <w:jc w:val="both"/>
      </w:pPr>
      <w:r>
        <w:rPr>
          <w:rFonts w:ascii="Times New Roman" w:hAnsi="Times New Roman" w:cs="Times New Roman" w:eastAsia="Times New Roman"/>
          <w:b w:val="0"/>
          <w:i w:val="0"/>
          <w:sz w:val="26"/>
        </w:rPr>
        <w:t>Kế hoạch mười bốn tuần ở trên giả định mọi việc diễn ra đúng dự tính. Mục này liệt kê những chỗ dễ trật nhất cùng phương án xử lý đã chuẩn bị trước.</w:t>
      </w:r>
    </w:p>
    <w:p>
      <w:pPr>
        <w:spacing w:lineRule="auto" w:line="276" w:before="160" w:after="60"/>
        <w:jc w:val="center"/>
      </w:pPr>
      <w:r>
        <w:rPr>
          <w:rFonts w:ascii="Times New Roman" w:hAnsi="Times New Roman" w:cs="Times New Roman" w:eastAsia="Times New Roman"/>
          <w:b/>
          <w:i w:val="0"/>
          <w:sz w:val="24"/>
        </w:rPr>
        <w:t xml:space="preserve">Bảng 8. </w:t>
      </w:r>
      <w:r>
        <w:rPr>
          <w:rFonts w:ascii="Times New Roman" w:hAnsi="Times New Roman" w:cs="Times New Roman" w:eastAsia="Times New Roman"/>
          <w:b/>
          <w:i w:val="0"/>
          <w:sz w:val="24"/>
        </w:rPr>
        <w:t>Rủi ro và phương án dự phòng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Rủi ro</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Khả năng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Phương án dự phòng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1</w:t>
            </w:r>
          </w:p>
        </w:tc>
        <w:tc>
          <w:tcPr>
            <w:tcW w:type="dxa" w:w="1814"/>
          </w:tcPr>
          <w:p>
            <w:pPr>
              <w:spacing w:lineRule="auto" w:line="240" w:before="20" w:after="20"/>
              <w:jc w:val="left"/>
            </w:pPr>
            <w:r/>
            <w:r>
              <w:rPr>
                <w:rFonts w:ascii="Times New Roman" w:hAnsi="Times New Roman" w:cs="Times New Roman" w:eastAsia="Times New Roman"/>
                <w:b w:val="0"/>
                <w:i w:val="0"/>
                <w:sz w:val="22"/>
              </w:rPr>
              <w:t>Ràng buộc chống đặt trùng phòng cài xong nhưng kiểm thử đa luồng vẫn sinh đơn trùng</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i w:val="0"/>
                <w:sz w:val="22"/>
              </w:rPr>
              <w:t>Nghiêm trọng</w:t>
            </w:r>
            <w:r>
              <w:rPr>
                <w:rFonts w:ascii="Times New Roman" w:hAnsi="Times New Roman" w:cs="Times New Roman" w:eastAsia="Times New Roman"/>
                <w:b w:val="0"/>
                <w:i w:val="0"/>
                <w:sz w:val="22"/>
              </w:rPr>
              <w:t xml:space="preserve"> — đây là mục tiêu số 2</w:t>
            </w:r>
          </w:p>
        </w:tc>
        <w:tc>
          <w:tcPr>
            <w:tcW w:type="dxa" w:w="1814"/>
          </w:tcPr>
          <w:p>
            <w:pPr>
              <w:spacing w:lineRule="auto" w:line="240" w:before="20" w:after="20"/>
              <w:jc w:val="left"/>
            </w:pPr>
            <w:r/>
            <w:r>
              <w:rPr>
                <w:rFonts w:ascii="Times New Roman" w:hAnsi="Times New Roman" w:cs="Times New Roman" w:eastAsia="Times New Roman"/>
                <w:b w:val="0"/>
                <w:i w:val="0"/>
                <w:sz w:val="22"/>
              </w:rPr>
              <w:t>Tuần 4 là mốc sớm có chủ đích, còn đủ thời gian đổi cách: chuyển sang khoá bi quan trên hàng dữ liệu phòng. Chậm hơn nhưng vẫn đúng, và sự chênh lệch đó tự nó là kết quả nghiên cứu đáng báo cáo</w:t>
            </w:r>
          </w:p>
        </w:tc>
      </w:tr>
      <w:tr>
        <w:tc>
          <w:tcPr>
            <w:tcW w:type="dxa" w:w="1814"/>
          </w:tcPr>
          <w:p>
            <w:pPr>
              <w:spacing w:lineRule="auto" w:line="240" w:before="20" w:after="20"/>
              <w:jc w:val="left"/>
            </w:pPr>
            <w:r/>
            <w:r>
              <w:rPr>
                <w:rFonts w:ascii="Times New Roman" w:hAnsi="Times New Roman" w:cs="Times New Roman" w:eastAsia="Times New Roman"/>
                <w:b w:val="0"/>
                <w:i w:val="0"/>
                <w:sz w:val="22"/>
              </w:rPr>
              <w:t>2</w:t>
            </w:r>
          </w:p>
        </w:tc>
        <w:tc>
          <w:tcPr>
            <w:tcW w:type="dxa" w:w="1814"/>
          </w:tcPr>
          <w:p>
            <w:pPr>
              <w:spacing w:lineRule="auto" w:line="240" w:before="20" w:after="20"/>
              <w:jc w:val="left"/>
            </w:pPr>
            <w:r/>
            <w:r>
              <w:rPr>
                <w:rFonts w:ascii="Times New Roman" w:hAnsi="Times New Roman" w:cs="Times New Roman" w:eastAsia="Times New Roman"/>
                <w:b w:val="0"/>
                <w:i w:val="0"/>
                <w:sz w:val="22"/>
              </w:rPr>
              <w:t>Không xin được tài khoản thử của dịch vụ thanh toán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chặn tuần 7</w:t>
            </w:r>
          </w:p>
        </w:tc>
        <w:tc>
          <w:tcPr>
            <w:tcW w:type="dxa" w:w="1814"/>
          </w:tcPr>
          <w:p>
            <w:pPr>
              <w:spacing w:lineRule="auto" w:line="240" w:before="20" w:after="20"/>
              <w:jc w:val="left"/>
            </w:pPr>
            <w:r/>
            <w:r>
              <w:rPr>
                <w:rFonts w:ascii="Times New Roman" w:hAnsi="Times New Roman" w:cs="Times New Roman" w:eastAsia="Times New Roman"/>
                <w:b w:val="0"/>
                <w:i w:val="0"/>
                <w:sz w:val="22"/>
              </w:rPr>
              <w:t>Tự dựng bộ giả lập webhook gọi đúng giao diện lập trình ứng dụng thật. Luồng nghiệp vụ và phần kiểm thử không đổi; chỉ nguồn gọi là giả</w:t>
            </w:r>
          </w:p>
        </w:tc>
      </w:tr>
      <w:tr>
        <w:tc>
          <w:tcPr>
            <w:tcW w:type="dxa" w:w="1814"/>
          </w:tcPr>
          <w:p>
            <w:pPr>
              <w:spacing w:lineRule="auto" w:line="240" w:before="20" w:after="20"/>
              <w:jc w:val="left"/>
            </w:pPr>
            <w:r/>
            <w:r>
              <w:rPr>
                <w:rFonts w:ascii="Times New Roman" w:hAnsi="Times New Roman" w:cs="Times New Roman" w:eastAsia="Times New Roman"/>
                <w:b w:val="0"/>
                <w:i w:val="0"/>
                <w:sz w:val="22"/>
              </w:rPr>
              <w:t>3</w:t>
            </w:r>
          </w:p>
        </w:tc>
        <w:tc>
          <w:tcPr>
            <w:tcW w:type="dxa" w:w="1814"/>
          </w:tcPr>
          <w:p>
            <w:pPr>
              <w:spacing w:lineRule="auto" w:line="240" w:before="20" w:after="20"/>
              <w:jc w:val="left"/>
            </w:pPr>
            <w:r/>
            <w:r>
              <w:rPr>
                <w:rFonts w:ascii="Times New Roman" w:hAnsi="Times New Roman" w:cs="Times New Roman" w:eastAsia="Times New Roman"/>
                <w:b w:val="0"/>
                <w:i w:val="0"/>
                <w:sz w:val="22"/>
              </w:rPr>
              <w:t>Kiểm thử tích hợp cần cơ sở dữ liệu thật trong container, máy cá nhân không chạy nổi</w:t>
            </w:r>
          </w:p>
        </w:tc>
        <w:tc>
          <w:tcPr>
            <w:tcW w:type="dxa" w:w="1814"/>
          </w:tcPr>
          <w:p>
            <w:pPr>
              <w:spacing w:lineRule="auto" w:line="240" w:before="20" w:after="20"/>
              <w:jc w:val="left"/>
            </w:pPr>
            <w:r/>
            <w:r>
              <w:rPr>
                <w:rFonts w:ascii="Times New Roman" w:hAnsi="Times New Roman" w:cs="Times New Roman" w:eastAsia="Times New Roman"/>
                <w:b w:val="0"/>
                <w:i w:val="0"/>
                <w:sz w:val="22"/>
              </w:rPr>
              <w:t>Thấp</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Hạ số ca chạy song song và chạy theo nhóm; chấp nhận bộ kiểm thử chạy lâu hơn, không chấp nhận giả lập cơ sở dữ liệu</w:t>
            </w:r>
          </w:p>
        </w:tc>
      </w:tr>
      <w:tr>
        <w:tc>
          <w:tcPr>
            <w:tcW w:type="dxa" w:w="1814"/>
          </w:tcPr>
          <w:p>
            <w:pPr>
              <w:spacing w:lineRule="auto" w:line="240" w:before="20" w:after="20"/>
              <w:jc w:val="left"/>
            </w:pPr>
            <w:r/>
            <w:r>
              <w:rPr>
                <w:rFonts w:ascii="Times New Roman" w:hAnsi="Times New Roman" w:cs="Times New Roman" w:eastAsia="Times New Roman"/>
                <w:b w:val="0"/>
                <w:i w:val="0"/>
                <w:sz w:val="22"/>
              </w:rPr>
              <w:t>4</w:t>
            </w:r>
          </w:p>
        </w:tc>
        <w:tc>
          <w:tcPr>
            <w:tcW w:type="dxa" w:w="1814"/>
          </w:tcPr>
          <w:p>
            <w:pPr>
              <w:spacing w:lineRule="auto" w:line="240" w:before="20" w:after="20"/>
              <w:jc w:val="left"/>
            </w:pPr>
            <w:r/>
            <w:r>
              <w:rPr>
                <w:rFonts w:ascii="Times New Roman" w:hAnsi="Times New Roman" w:cs="Times New Roman" w:eastAsia="Times New Roman"/>
                <w:b w:val="0"/>
                <w:i w:val="0"/>
                <w:sz w:val="22"/>
              </w:rPr>
              <w:t>Phạm vi phình ra vì phát sinh yêu cầu mới giữa chừng</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Mục 4.3 đã liệt kê sẵn những gì đề tài KHÔNG làm. Mọi yêu cầu mới ghi vào mục "hướng phát triển", không đưa vào phạm vi nghiệm thu</w:t>
            </w:r>
          </w:p>
        </w:tc>
      </w:tr>
      <w:tr>
        <w:tc>
          <w:tcPr>
            <w:tcW w:type="dxa" w:w="1814"/>
          </w:tcPr>
          <w:p>
            <w:pPr>
              <w:spacing w:lineRule="auto" w:line="240" w:before="20" w:after="20"/>
              <w:jc w:val="left"/>
            </w:pPr>
            <w:r/>
            <w:r>
              <w:rPr>
                <w:rFonts w:ascii="Times New Roman" w:hAnsi="Times New Roman" w:cs="Times New Roman" w:eastAsia="Times New Roman"/>
                <w:b w:val="0"/>
                <w:i w:val="0"/>
                <w:sz w:val="22"/>
              </w:rPr>
              <w:t>5</w:t>
            </w:r>
          </w:p>
        </w:tc>
        <w:tc>
          <w:tcPr>
            <w:tcW w:type="dxa" w:w="1814"/>
          </w:tcPr>
          <w:p>
            <w:pPr>
              <w:spacing w:lineRule="auto" w:line="240" w:before="20" w:after="20"/>
              <w:jc w:val="left"/>
            </w:pPr>
            <w:r/>
            <w:r>
              <w:rPr>
                <w:rFonts w:ascii="Times New Roman" w:hAnsi="Times New Roman" w:cs="Times New Roman" w:eastAsia="Times New Roman"/>
                <w:b w:val="0"/>
                <w:i w:val="0"/>
                <w:sz w:val="22"/>
              </w:rPr>
              <w:t>Viết báo cáo dồn vào cuối, không kịp</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Tuần 11 và 12 dành riêng cho viết báo cáo, và mốc nộp bản thảo hai chương đầu ở tuần 11 buộc phải viết sớm thay vì dồn</w:t>
            </w:r>
          </w:p>
        </w:tc>
      </w:tr>
      <w:tr>
        <w:tc>
          <w:tcPr>
            <w:tcW w:type="dxa" w:w="1814"/>
          </w:tcPr>
          <w:p>
            <w:pPr>
              <w:spacing w:lineRule="auto" w:line="240" w:before="20" w:after="20"/>
              <w:jc w:val="left"/>
            </w:pPr>
            <w:r/>
            <w:r>
              <w:rPr>
                <w:rFonts w:ascii="Times New Roman" w:hAnsi="Times New Roman" w:cs="Times New Roman" w:eastAsia="Times New Roman"/>
                <w:b w:val="0"/>
                <w:i w:val="0"/>
                <w:sz w:val="22"/>
              </w:rPr>
              <w:t>6</w:t>
            </w:r>
          </w:p>
        </w:tc>
        <w:tc>
          <w:tcPr>
            <w:tcW w:type="dxa" w:w="1814"/>
          </w:tcPr>
          <w:p>
            <w:pPr>
              <w:spacing w:lineRule="auto" w:line="240" w:before="20" w:after="20"/>
              <w:jc w:val="left"/>
            </w:pPr>
            <w:r/>
            <w:r>
              <w:rPr>
                <w:rFonts w:ascii="Times New Roman" w:hAnsi="Times New Roman" w:cs="Times New Roman" w:eastAsia="Times New Roman"/>
                <w:b w:val="0"/>
                <w:i w:val="0"/>
                <w:sz w:val="22"/>
              </w:rPr>
              <w:t>Quên nộp báo cáo tiến độ hoặc không commit đủ tuần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là tiêu chí chấm điểm</w:t>
            </w:r>
          </w:p>
        </w:tc>
        <w:tc>
          <w:tcPr>
            <w:tcW w:type="dxa" w:w="1814"/>
          </w:tcPr>
          <w:p>
            <w:pPr>
              <w:spacing w:lineRule="auto" w:line="240" w:before="20" w:after="20"/>
              <w:jc w:val="left"/>
            </w:pPr>
            <w:r/>
            <w:r>
              <w:rPr>
                <w:rFonts w:ascii="Times New Roman" w:hAnsi="Times New Roman" w:cs="Times New Roman" w:eastAsia="Times New Roman"/>
                <w:b w:val="0"/>
                <w:i w:val="0"/>
                <w:sz w:val="22"/>
              </w:rPr>
              <w:t>Coi việc commit và nộp báo cáo tiến độ là một hạng mục cố định cuối mỗi tuần, ngang với công việc kỹ thuật của tuần đó</w:t>
            </w:r>
          </w:p>
        </w:tc>
      </w:tr>
    </w:tbl>
    <w:p>
      <w:pPr>
        <w:spacing w:lineRule="auto" w:line="360" w:before="120" w:after="120"/>
        <w:jc w:val="both"/>
      </w:pPr>
      <w:r>
        <w:rPr>
          <w:rFonts w:ascii="Times New Roman" w:hAnsi="Times New Roman" w:cs="Times New Roman" w:eastAsia="Times New Roman"/>
          <w:b w:val="0"/>
          <w:i w:val="0"/>
          <w:sz w:val="26"/>
        </w:rPr>
        <w:t>Trong sáu rủi ro trên, ba rủi ro số 1, 4 và 5 cần theo dõi sát nhất. Rủi ro số 1 quyết định đề tài có đạt mục tiêu cốt lõi hay không; rủi ro số 4 và số 5 là hai nguyên nhân thường gặp khiến một đồ án đủ năng lực vẫn không hoàn thành đúng hạn.</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Đánh số theo IEEE thành một dãy liên tục: [1]–[4] công trình học thuật làm nền cho CH1 và CH2, [5]–[10] tài liệu kỹ thuật chính thức, [11]–[14] tiêu chuẩn và khuyến nghị, [15]–[16] văn bản của khoa.</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các tài liệu [5]–[14] phải ghi kèm số phiên bản và ngày truy cập. Mức hoa hồng nêu ở mục 2.3.1 phải dẫn đúng trang biểu phí dành cho đối tác của từng sàn, kèm ngày truy cập.</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H. Berenson, P. Bernstein, J. Gray, J. Melton, E. O'Neil và P. O'Neil, </w:t>
      </w:r>
      <w:r>
        <w:rPr>
          <w:rFonts w:ascii="Times New Roman" w:hAnsi="Times New Roman" w:cs="Times New Roman" w:eastAsia="Times New Roman"/>
          <w:b w:val="0"/>
          <w:i/>
          <w:sz w:val="26"/>
        </w:rPr>
        <w:t>"A Critique of ANSI SQL Isolation Levels"</w:t>
      </w:r>
      <w:r>
        <w:rPr>
          <w:rFonts w:ascii="Times New Roman" w:hAnsi="Times New Roman" w:cs="Times New Roman" w:eastAsia="Times New Roman"/>
          <w:b w:val="0"/>
          <w:i w:val="0"/>
          <w:sz w:val="26"/>
        </w:rPr>
        <w:t>,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A. Fekete, D. Liarokapis, E. O'Neil, P. O'Neil và D. Shasha, </w:t>
      </w:r>
      <w:r>
        <w:rPr>
          <w:rFonts w:ascii="Times New Roman" w:hAnsi="Times New Roman" w:cs="Times New Roman" w:eastAsia="Times New Roman"/>
          <w:b w:val="0"/>
          <w:i/>
          <w:sz w:val="26"/>
        </w:rPr>
        <w:t>"Making Snapshot Isolation Serializable"</w:t>
      </w:r>
      <w:r>
        <w:rPr>
          <w:rFonts w:ascii="Times New Roman" w:hAnsi="Times New Roman" w:cs="Times New Roman" w:eastAsia="Times New Roman"/>
          <w:b w:val="0"/>
          <w:i w:val="0"/>
          <w:sz w:val="26"/>
        </w:rPr>
        <w:t>,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D. R. K. Ports và K. Grittner, </w:t>
      </w:r>
      <w:r>
        <w:rPr>
          <w:rFonts w:ascii="Times New Roman" w:hAnsi="Times New Roman" w:cs="Times New Roman" w:eastAsia="Times New Roman"/>
          <w:b w:val="0"/>
          <w:i/>
          <w:sz w:val="26"/>
        </w:rPr>
        <w:t>"Serializable Snapshot Isolation in PostgreSQL"</w:t>
      </w:r>
      <w:r>
        <w:rPr>
          <w:rFonts w:ascii="Times New Roman" w:hAnsi="Times New Roman" w:cs="Times New Roman" w:eastAsia="Times New Roman"/>
          <w:b w:val="0"/>
          <w:i w:val="0"/>
          <w:sz w:val="26"/>
        </w:rPr>
        <w:t>,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Transaction Isolation</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Range Types</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Constraints</w:t>
      </w:r>
      <w:r>
        <w:rPr>
          <w:rFonts w:ascii="Times New Roman" w:hAnsi="Times New Roman" w:cs="Times New Roman" w:eastAsia="Times New Roman"/>
          <w:b w:val="0"/>
          <w:i w:val="0"/>
          <w:sz w:val="26"/>
        </w:rPr>
        <w:t xml:space="preserve">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Index Types</w:t>
      </w:r>
      <w:r>
        <w:rPr>
          <w:rFonts w:ascii="Times New Roman" w:hAnsi="Times New Roman" w:cs="Times New Roman" w:eastAsia="Times New Roman"/>
          <w:b w:val="0"/>
          <w:i w:val="0"/>
          <w:sz w:val="26"/>
        </w:rPr>
        <w:t xml:space="preserve">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Angular</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Docker Compose</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Testcontainers</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 . . . . . . . . . . . . . . . . .  -  MSSV . . . . . . . . . . . .  -  Lớp . . . . . . . . . . .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