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Override PartName="/word/media/rId33.png" ContentType="image/png"/>
  <Override PartName="/word/media/rId3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happens</w:t>
      </w:r>
      <w:r>
        <w:t xml:space="preserve"> </w:t>
      </w:r>
      <w:r>
        <w:t xml:space="preserve">96</w:t>
      </w:r>
      <w:r>
        <w:t xml:space="preserve"> </w:t>
      </w:r>
      <w:r>
        <w:t xml:space="preserve">hours</w:t>
      </w:r>
      <w:r>
        <w:t xml:space="preserve"> </w:t>
      </w:r>
      <w:r>
        <w:t xml:space="preserve">before</w:t>
      </w:r>
      <w:r>
        <w:t xml:space="preserve"> </w:t>
      </w:r>
      <w:r>
        <w:t xml:space="preserve">and</w:t>
      </w:r>
      <w:r>
        <w:t xml:space="preserve"> </w:t>
      </w:r>
      <w:r>
        <w:t xml:space="preserve">after</w:t>
      </w:r>
      <w:r>
        <w:t xml:space="preserve"> </w:t>
      </w:r>
      <w:r>
        <w:t xml:space="preserve">999</w:t>
      </w:r>
      <w:r>
        <w:t xml:space="preserve"> </w:t>
      </w:r>
      <w:r>
        <w:t xml:space="preserve">see</w:t>
      </w:r>
      <w:r>
        <w:t xml:space="preserve"> </w:t>
      </w:r>
      <w:r>
        <w:t xml:space="preserve">&amp;</w:t>
      </w:r>
      <w:r>
        <w:t xml:space="preserve"> </w:t>
      </w:r>
      <w:r>
        <w:t xml:space="preserve">treat</w:t>
      </w:r>
      <w:r>
        <w:t xml:space="preserve"> </w:t>
      </w:r>
      <w:r>
        <w:t xml:space="preserve">calls</w:t>
      </w:r>
      <w:r>
        <w:t xml:space="preserve"> </w:t>
      </w:r>
      <w:r>
        <w:t xml:space="preserve">within</w:t>
      </w:r>
      <w:r>
        <w:t xml:space="preserve"> </w:t>
      </w:r>
      <w:r>
        <w:t xml:space="preserve">the</w:t>
      </w:r>
      <w:r>
        <w:t xml:space="preserve"> </w:t>
      </w:r>
      <w:r>
        <w:t xml:space="preserve">first</w:t>
      </w:r>
      <w:r>
        <w:t xml:space="preserve"> </w:t>
      </w:r>
      <w:r>
        <w:t xml:space="preserve">week</w:t>
      </w:r>
      <w:r>
        <w:t xml:space="preserve"> </w:t>
      </w:r>
      <w:r>
        <w:t xml:space="preserve">of</w:t>
      </w:r>
      <w:r>
        <w:t xml:space="preserve"> </w:t>
      </w:r>
      <w:r>
        <w:t xml:space="preserve">August</w:t>
      </w:r>
      <w:r>
        <w:t xml:space="preserve"> </w:t>
      </w:r>
      <w:r>
        <w:t xml:space="preserve">2022</w:t>
      </w:r>
    </w:p>
    <w:p>
      <w:pPr>
        <w:pStyle w:val="Author"/>
      </w:pPr>
      <w:r>
        <w:t xml:space="preserve">Some</w:t>
      </w:r>
      <w:r>
        <w:t xml:space="preserve"> </w:t>
      </w:r>
      <w:r>
        <w:t xml:space="preserve">One</w:t>
      </w:r>
      <w:r>
        <w:t xml:space="preserve"> </w:t>
      </w:r>
      <w:r>
        <w:t xml:space="preserve">(</w:t>
      </w:r>
      <w:hyperlink r:id="rId20">
        <w:r>
          <w:rPr>
            <w:rStyle w:val="Hyperlink"/>
          </w:rPr>
          <w:t xml:space="preserve">some.one123@nhs.net</w:t>
        </w:r>
      </w:hyperlink>
      <w:r>
        <w:t xml:space="preserve">)</w:t>
      </w:r>
      <w:r>
        <w:rPr>
          <w:rStyle w:val="FootnoteReference"/>
        </w:rPr>
        <w:footnoteReference w:id="21"/>
      </w:r>
    </w:p>
    <w:p>
      <w:pPr>
        <w:pStyle w:val="Date"/>
      </w:pPr>
      <w:r>
        <w:t xml:space="preserve">11</w:t>
      </w:r>
      <w:r>
        <w:t xml:space="preserve"> </w:t>
      </w:r>
      <w:r>
        <w:t xml:space="preserve">November</w:t>
      </w:r>
      <w:r>
        <w:t xml:space="preserve"> </w:t>
      </w:r>
      <w:r>
        <w:t xml:space="preserve">2022</w:t>
      </w:r>
    </w:p>
    <w:bookmarkStart w:id="26" w:name="X7fb8f523de9fa58415bffaf29be6c6f779ec63e"/>
    <w:p>
      <w:pPr>
        <w:pStyle w:val="Heading2"/>
      </w:pPr>
      <w:r>
        <w:t xml:space="preserve">1. Descriptive overview of the identified cohort</w:t>
      </w:r>
    </w:p>
    <w:p>
      <w:pPr>
        <w:pStyle w:val="FirstParagraph"/>
      </w:pPr>
      <w:r>
        <w:t xml:space="preserve">The cohort contains 668 instances for which an index event is recorded. Among these, there are 619 unique patients, meaning an average of 1.1 index events per patient.</w:t>
      </w:r>
    </w:p>
    <w:p>
      <w:pPr>
        <w:pStyle w:val="BodyText"/>
      </w:pPr>
      <w:r>
        <w:t xml:space="preserve">The below figure contains attributes for the 639 instances (593 unique patients) that have relevant attribute data (taken from the closest month to the index event).</w:t>
      </w:r>
    </w:p>
    <w:p>
      <w:pPr>
        <w:pStyle w:val="BodyText"/>
      </w:pPr>
      <w:r>
        <w:t xml:space="preserve">For context, the attributes of the general BNSSG population is also included, from the most recent month’s data.</w:t>
      </w:r>
    </w:p>
    <w:p>
      <w:pPr>
        <w:pStyle w:val="BodyText"/>
      </w:pPr>
      <w:r>
        <w:drawing>
          <wp:inline>
            <wp:extent cx="5334000" cy="4000500"/>
            <wp:effectExtent b="0" l="0" r="0" t="0"/>
            <wp:docPr descr="" title="" id="24" name="Picture"/>
            <a:graphic>
              <a:graphicData uri="http://schemas.openxmlformats.org/drawingml/2006/picture">
                <pic:pic>
                  <pic:nvPicPr>
                    <pic:cNvPr descr="S:\Finance\Shared%20Area\BNSSG%20-%20BI\8%20Modelling%20and%20Analytics\tools\internal\prepost_activity\2022-11-11%2012-12-21\report_files/figure-docx/unnamed-chunk-1-1.png" id="25" name="Picture"/>
                    <pic:cNvPicPr>
                      <a:picLocks noChangeArrowheads="1" noChangeAspect="1"/>
                    </pic:cNvPicPr>
                  </pic:nvPicPr>
                  <pic:blipFill>
                    <a:blip r:embed="rId23"/>
                    <a:stretch>
                      <a:fillRect/>
                    </a:stretch>
                  </pic:blipFill>
                  <pic:spPr bwMode="auto">
                    <a:xfrm>
                      <a:off x="0" y="0"/>
                      <a:ext cx="5334000" cy="4000500"/>
                    </a:xfrm>
                    <a:prstGeom prst="rect">
                      <a:avLst/>
                    </a:prstGeom>
                    <a:noFill/>
                    <a:ln w="9525">
                      <a:noFill/>
                      <a:headEnd/>
                      <a:tailEnd/>
                    </a:ln>
                  </pic:spPr>
                </pic:pic>
              </a:graphicData>
            </a:graphic>
          </wp:inline>
        </w:drawing>
      </w:r>
    </w:p>
    <w:bookmarkEnd w:id="26"/>
    <w:bookmarkStart w:id="27" w:name="Xc4e7016bb99cd25962742980421540d1b3c8eb4"/>
    <w:p>
      <w:pPr>
        <w:pStyle w:val="Heading2"/>
      </w:pPr>
      <w:r>
        <w:t xml:space="preserve">2. Activity volumes before and after the index event</w:t>
      </w:r>
    </w:p>
    <w:p>
      <w:pPr>
        <w:pStyle w:val="FirstParagraph"/>
      </w:pPr>
      <w:r>
        <w:t xml:space="preserve">The tables below summarise the volumes of activity occurring before and after the index event, for the 668 instances in the cohort.</w:t>
      </w:r>
    </w:p>
    <w:p>
      <w:pPr>
        <w:pStyle w:val="TableCaption"/>
      </w:pPr>
      <w:r>
        <w:t xml:space="preserve">Summary of activity volumes BEFORE the index event</w:t>
      </w:r>
    </w:p>
    <w:tbl>
      <w:tblPr>
        <w:tblStyle w:val="Table"/>
        <w:tblW w:type="pct" w:w="5000"/>
        <w:tblLook w:firstRow="1" w:lastRow="0" w:firstColumn="0" w:lastColumn="0" w:noHBand="0" w:noVBand="0" w:val="0020"/>
        <w:tblCaption w:val="Summary of activity volumes BEFORE the index event"/>
      </w:tblPr>
      <w:tblGrid>
        <w:gridCol w:w="1111"/>
        <w:gridCol w:w="1875"/>
        <w:gridCol w:w="1875"/>
        <w:gridCol w:w="3056"/>
      </w:tblGrid>
      <w:tr>
        <w:trPr>
          <w:tblHeader w:val="true"/>
        </w:trPr>
        <w:tc>
          <w:tcPr/>
          <w:p>
            <w:pPr>
              <w:pStyle w:val="Compact"/>
              <w:jc w:val="left"/>
            </w:pPr>
            <w:r>
              <w:t xml:space="preserve">Activity</w:t>
            </w:r>
          </w:p>
        </w:tc>
        <w:tc>
          <w:tcPr/>
          <w:p>
            <w:pPr>
              <w:pStyle w:val="Compact"/>
              <w:jc w:val="right"/>
            </w:pPr>
            <w:r>
              <w:t xml:space="preserve">Mean activity per instance</w:t>
            </w:r>
          </w:p>
        </w:tc>
        <w:tc>
          <w:tcPr/>
          <w:p>
            <w:pPr>
              <w:pStyle w:val="Compact"/>
              <w:jc w:val="right"/>
            </w:pPr>
            <w:r>
              <w:t xml:space="preserve">Instances with &gt;0 activity</w:t>
            </w:r>
          </w:p>
        </w:tc>
        <w:tc>
          <w:tcPr/>
          <w:p>
            <w:pPr>
              <w:pStyle w:val="Compact"/>
              <w:jc w:val="right"/>
            </w:pPr>
            <w:r>
              <w:t xml:space="preserve">Mean activity per instance with &gt;0 activity</w:t>
            </w:r>
          </w:p>
        </w:tc>
      </w:tr>
      <w:tr>
        <w:tc>
          <w:tcPr/>
          <w:p>
            <w:pPr>
              <w:pStyle w:val="Compact"/>
              <w:jc w:val="left"/>
            </w:pPr>
            <w:r>
              <w:t xml:space="preserve">111</w:t>
            </w:r>
          </w:p>
        </w:tc>
        <w:tc>
          <w:tcPr/>
          <w:p>
            <w:pPr>
              <w:pStyle w:val="Compact"/>
              <w:jc w:val="right"/>
            </w:pPr>
            <w:r>
              <w:t xml:space="preserve">0.34</w:t>
            </w:r>
          </w:p>
        </w:tc>
        <w:tc>
          <w:tcPr/>
          <w:p>
            <w:pPr>
              <w:pStyle w:val="Compact"/>
              <w:jc w:val="right"/>
            </w:pPr>
            <w:r>
              <w:t xml:space="preserve">28.3%</w:t>
            </w:r>
          </w:p>
        </w:tc>
        <w:tc>
          <w:tcPr/>
          <w:p>
            <w:pPr>
              <w:pStyle w:val="Compact"/>
              <w:jc w:val="right"/>
            </w:pPr>
            <w:r>
              <w:t xml:space="preserve">1.22</w:t>
            </w:r>
          </w:p>
        </w:tc>
      </w:tr>
      <w:tr>
        <w:tc>
          <w:tcPr/>
          <w:p>
            <w:pPr>
              <w:pStyle w:val="Compact"/>
              <w:jc w:val="left"/>
            </w:pPr>
            <w:r>
              <w:t xml:space="preserve">999 (all types)</w:t>
            </w:r>
          </w:p>
        </w:tc>
        <w:tc>
          <w:tcPr/>
          <w:p>
            <w:pPr>
              <w:pStyle w:val="Compact"/>
              <w:jc w:val="right"/>
            </w:pPr>
            <w:r>
              <w:t xml:space="preserve">0.29</w:t>
            </w:r>
          </w:p>
        </w:tc>
        <w:tc>
          <w:tcPr/>
          <w:p>
            <w:pPr>
              <w:pStyle w:val="Compact"/>
              <w:jc w:val="right"/>
            </w:pPr>
            <w:r>
              <w:t xml:space="preserve">13%</w:t>
            </w:r>
          </w:p>
        </w:tc>
        <w:tc>
          <w:tcPr/>
          <w:p>
            <w:pPr>
              <w:pStyle w:val="Compact"/>
              <w:jc w:val="right"/>
            </w:pPr>
            <w:r>
              <w:t xml:space="preserve">2.21</w:t>
            </w:r>
          </w:p>
        </w:tc>
      </w:tr>
      <w:tr>
        <w:tc>
          <w:tcPr/>
          <w:p>
            <w:pPr>
              <w:pStyle w:val="Compact"/>
              <w:jc w:val="left"/>
            </w:pPr>
            <w:r>
              <w:t xml:space="preserve">A+E</w:t>
            </w:r>
          </w:p>
        </w:tc>
        <w:tc>
          <w:tcPr/>
          <w:p>
            <w:pPr>
              <w:pStyle w:val="Compact"/>
              <w:jc w:val="right"/>
            </w:pPr>
            <w:r>
              <w:t xml:space="preserve">0.09</w:t>
            </w:r>
          </w:p>
        </w:tc>
        <w:tc>
          <w:tcPr/>
          <w:p>
            <w:pPr>
              <w:pStyle w:val="Compact"/>
              <w:jc w:val="right"/>
            </w:pPr>
            <w:r>
              <w:t xml:space="preserve">7.8%</w:t>
            </w:r>
          </w:p>
        </w:tc>
        <w:tc>
          <w:tcPr/>
          <w:p>
            <w:pPr>
              <w:pStyle w:val="Compact"/>
              <w:jc w:val="right"/>
            </w:pPr>
            <w:r>
              <w:t xml:space="preserve">1.17</w:t>
            </w:r>
          </w:p>
        </w:tc>
      </w:tr>
      <w:tr>
        <w:tc>
          <w:tcPr/>
          <w:p>
            <w:pPr>
              <w:pStyle w:val="Compact"/>
              <w:jc w:val="left"/>
            </w:pPr>
            <w:r>
              <w:t xml:space="preserve">GP</w:t>
            </w:r>
          </w:p>
        </w:tc>
        <w:tc>
          <w:tcPr/>
          <w:p>
            <w:pPr>
              <w:pStyle w:val="Compact"/>
              <w:jc w:val="right"/>
            </w:pPr>
            <w:r>
              <w:t xml:space="preserve">0.65</w:t>
            </w:r>
          </w:p>
        </w:tc>
        <w:tc>
          <w:tcPr/>
          <w:p>
            <w:pPr>
              <w:pStyle w:val="Compact"/>
              <w:jc w:val="right"/>
            </w:pPr>
            <w:r>
              <w:t xml:space="preserve">36.1%</w:t>
            </w:r>
          </w:p>
        </w:tc>
        <w:tc>
          <w:tcPr/>
          <w:p>
            <w:pPr>
              <w:pStyle w:val="Compact"/>
              <w:jc w:val="right"/>
            </w:pPr>
            <w:r>
              <w:t xml:space="preserve">1.81</w:t>
            </w:r>
          </w:p>
        </w:tc>
      </w:tr>
    </w:tbl>
    <w:p/>
    <w:p>
      <w:pPr>
        <w:pStyle w:val="TableCaption"/>
      </w:pPr>
      <w:r>
        <w:t xml:space="preserve">Summary of activity volumes AFTER the index event</w:t>
      </w:r>
    </w:p>
    <w:tbl>
      <w:tblPr>
        <w:tblStyle w:val="Table"/>
        <w:tblW w:type="pct" w:w="5000"/>
        <w:tblLook w:firstRow="1" w:lastRow="0" w:firstColumn="0" w:lastColumn="0" w:noHBand="0" w:noVBand="0" w:val="0020"/>
        <w:tblCaption w:val="Summary of activity volumes AFTER the index event"/>
      </w:tblPr>
      <w:tblGrid>
        <w:gridCol w:w="1111"/>
        <w:gridCol w:w="1875"/>
        <w:gridCol w:w="1875"/>
        <w:gridCol w:w="3056"/>
      </w:tblGrid>
      <w:tr>
        <w:trPr>
          <w:tblHeader w:val="true"/>
        </w:trPr>
        <w:tc>
          <w:tcPr/>
          <w:p>
            <w:pPr>
              <w:pStyle w:val="Compact"/>
              <w:jc w:val="left"/>
            </w:pPr>
            <w:r>
              <w:t xml:space="preserve">Activity</w:t>
            </w:r>
          </w:p>
        </w:tc>
        <w:tc>
          <w:tcPr/>
          <w:p>
            <w:pPr>
              <w:pStyle w:val="Compact"/>
              <w:jc w:val="right"/>
            </w:pPr>
            <w:r>
              <w:t xml:space="preserve">Mean activity per instance</w:t>
            </w:r>
          </w:p>
        </w:tc>
        <w:tc>
          <w:tcPr/>
          <w:p>
            <w:pPr>
              <w:pStyle w:val="Compact"/>
              <w:jc w:val="right"/>
            </w:pPr>
            <w:r>
              <w:t xml:space="preserve">Instances with &gt;0 activity</w:t>
            </w:r>
          </w:p>
        </w:tc>
        <w:tc>
          <w:tcPr/>
          <w:p>
            <w:pPr>
              <w:pStyle w:val="Compact"/>
              <w:jc w:val="right"/>
            </w:pPr>
            <w:r>
              <w:t xml:space="preserve">Mean activity per instance with &gt;0 activity</w:t>
            </w:r>
          </w:p>
        </w:tc>
      </w:tr>
      <w:tr>
        <w:tc>
          <w:tcPr/>
          <w:p>
            <w:pPr>
              <w:pStyle w:val="Compact"/>
              <w:jc w:val="left"/>
            </w:pPr>
            <w:r>
              <w:t xml:space="preserve">111</w:t>
            </w:r>
          </w:p>
        </w:tc>
        <w:tc>
          <w:tcPr/>
          <w:p>
            <w:pPr>
              <w:pStyle w:val="Compact"/>
              <w:jc w:val="right"/>
            </w:pPr>
            <w:r>
              <w:t xml:space="preserve">0.09</w:t>
            </w:r>
          </w:p>
        </w:tc>
        <w:tc>
          <w:tcPr/>
          <w:p>
            <w:pPr>
              <w:pStyle w:val="Compact"/>
              <w:jc w:val="right"/>
            </w:pPr>
            <w:r>
              <w:t xml:space="preserve">7.5%</w:t>
            </w:r>
          </w:p>
        </w:tc>
        <w:tc>
          <w:tcPr/>
          <w:p>
            <w:pPr>
              <w:pStyle w:val="Compact"/>
              <w:jc w:val="right"/>
            </w:pPr>
            <w:r>
              <w:t xml:space="preserve">1.16</w:t>
            </w:r>
          </w:p>
        </w:tc>
      </w:tr>
      <w:tr>
        <w:tc>
          <w:tcPr/>
          <w:p>
            <w:pPr>
              <w:pStyle w:val="Compact"/>
              <w:jc w:val="left"/>
            </w:pPr>
            <w:r>
              <w:t xml:space="preserve">999 (all types)</w:t>
            </w:r>
          </w:p>
        </w:tc>
        <w:tc>
          <w:tcPr/>
          <w:p>
            <w:pPr>
              <w:pStyle w:val="Compact"/>
              <w:jc w:val="right"/>
            </w:pPr>
            <w:r>
              <w:t xml:space="preserve">0.36</w:t>
            </w:r>
          </w:p>
        </w:tc>
        <w:tc>
          <w:tcPr/>
          <w:p>
            <w:pPr>
              <w:pStyle w:val="Compact"/>
              <w:jc w:val="right"/>
            </w:pPr>
            <w:r>
              <w:t xml:space="preserve">17.5%</w:t>
            </w:r>
          </w:p>
        </w:tc>
        <w:tc>
          <w:tcPr/>
          <w:p>
            <w:pPr>
              <w:pStyle w:val="Compact"/>
              <w:jc w:val="right"/>
            </w:pPr>
            <w:r>
              <w:t xml:space="preserve">2.04</w:t>
            </w:r>
          </w:p>
        </w:tc>
      </w:tr>
      <w:tr>
        <w:tc>
          <w:tcPr/>
          <w:p>
            <w:pPr>
              <w:pStyle w:val="Compact"/>
              <w:jc w:val="left"/>
            </w:pPr>
            <w:r>
              <w:t xml:space="preserve">A+E</w:t>
            </w:r>
          </w:p>
        </w:tc>
        <w:tc>
          <w:tcPr/>
          <w:p>
            <w:pPr>
              <w:pStyle w:val="Compact"/>
              <w:jc w:val="right"/>
            </w:pPr>
            <w:r>
              <w:t xml:space="preserve">0.27</w:t>
            </w:r>
          </w:p>
        </w:tc>
        <w:tc>
          <w:tcPr/>
          <w:p>
            <w:pPr>
              <w:pStyle w:val="Compact"/>
              <w:jc w:val="right"/>
            </w:pPr>
            <w:r>
              <w:t xml:space="preserve">22.5%</w:t>
            </w:r>
          </w:p>
        </w:tc>
        <w:tc>
          <w:tcPr/>
          <w:p>
            <w:pPr>
              <w:pStyle w:val="Compact"/>
              <w:jc w:val="right"/>
            </w:pPr>
            <w:r>
              <w:t xml:space="preserve">1.21</w:t>
            </w:r>
          </w:p>
        </w:tc>
      </w:tr>
      <w:tr>
        <w:tc>
          <w:tcPr/>
          <w:p>
            <w:pPr>
              <w:pStyle w:val="Compact"/>
              <w:jc w:val="left"/>
            </w:pPr>
            <w:r>
              <w:t xml:space="preserve">GP</w:t>
            </w:r>
          </w:p>
        </w:tc>
        <w:tc>
          <w:tcPr/>
          <w:p>
            <w:pPr>
              <w:pStyle w:val="Compact"/>
              <w:jc w:val="right"/>
            </w:pPr>
            <w:r>
              <w:t xml:space="preserve">0.65</w:t>
            </w:r>
          </w:p>
        </w:tc>
        <w:tc>
          <w:tcPr/>
          <w:p>
            <w:pPr>
              <w:pStyle w:val="Compact"/>
              <w:jc w:val="right"/>
            </w:pPr>
            <w:r>
              <w:t xml:space="preserve">35.9%</w:t>
            </w:r>
          </w:p>
        </w:tc>
        <w:tc>
          <w:tcPr/>
          <w:p>
            <w:pPr>
              <w:pStyle w:val="Compact"/>
              <w:jc w:val="right"/>
            </w:pPr>
            <w:r>
              <w:t xml:space="preserve">1.81</w:t>
            </w:r>
          </w:p>
        </w:tc>
      </w:tr>
    </w:tbl>
    <w:bookmarkEnd w:id="27"/>
    <w:bookmarkStart w:id="31" w:name="X35f77c5121f23fd2107ee79d4b2606b47da122b"/>
    <w:p>
      <w:pPr>
        <w:pStyle w:val="Heading2"/>
      </w:pPr>
      <w:r>
        <w:t xml:space="preserve">3. Activity theographs for a sample of the cohort</w:t>
      </w:r>
    </w:p>
    <w:p>
      <w:pPr>
        <w:pStyle w:val="FirstParagraph"/>
      </w:pPr>
      <w:r>
        <w:t xml:space="preserve">The below figure contains examples of theographs. Here, each row contains activity for a certain patient centred around the index event (including the unique</w:t>
      </w:r>
      <w:r>
        <w:t xml:space="preserve"> </w:t>
      </w:r>
      <w:r>
        <w:rPr>
          <w:iCs/>
          <w:i/>
        </w:rPr>
        <w:t xml:space="preserve">#instance_id</w:t>
      </w:r>
      <w:r>
        <w:t xml:space="preserve">).</w:t>
      </w:r>
    </w:p>
    <w:p>
      <w:pPr>
        <w:pStyle w:val="BodyText"/>
      </w:pPr>
      <w:r>
        <w:t xml:space="preserve">Only the top 30 instances, by highest total volume of activity within the considered window, are included here (see the associated</w:t>
      </w:r>
      <w:r>
        <w:t xml:space="preserve"> </w:t>
      </w:r>
      <w:r>
        <w:rPr>
          <w:iCs/>
          <w:i/>
        </w:rPr>
        <w:t xml:space="preserve">theographs_full.pdf</w:t>
      </w:r>
      <w:r>
        <w:t xml:space="preserve"> </w:t>
      </w:r>
      <w:r>
        <w:t xml:space="preserve">file for the full results).</w:t>
      </w:r>
    </w:p>
    <w:p>
      <w:pPr>
        <w:pStyle w:val="BodyText"/>
      </w:pPr>
      <w:r>
        <w:drawing>
          <wp:inline>
            <wp:extent cx="5334000" cy="4923692"/>
            <wp:effectExtent b="0" l="0" r="0" t="0"/>
            <wp:docPr descr="" title="" id="29" name="Picture"/>
            <a:graphic>
              <a:graphicData uri="http://schemas.openxmlformats.org/drawingml/2006/picture">
                <pic:pic>
                  <pic:nvPicPr>
                    <pic:cNvPr descr="S:\Finance\Shared%20Area\BNSSG%20-%20BI\8%20Modelling%20and%20Analytics\tools\internal\prepost_activity\2022-11-11%2012-12-21\report_files/figure-docx/unnamed-chunk-2-1.png" id="30" name="Picture"/>
                    <pic:cNvPicPr>
                      <a:picLocks noChangeArrowheads="1" noChangeAspect="1"/>
                    </pic:cNvPicPr>
                  </pic:nvPicPr>
                  <pic:blipFill>
                    <a:blip r:embed="rId28"/>
                    <a:stretch>
                      <a:fillRect/>
                    </a:stretch>
                  </pic:blipFill>
                  <pic:spPr bwMode="auto">
                    <a:xfrm>
                      <a:off x="0" y="0"/>
                      <a:ext cx="5334000" cy="4923692"/>
                    </a:xfrm>
                    <a:prstGeom prst="rect">
                      <a:avLst/>
                    </a:prstGeom>
                    <a:noFill/>
                    <a:ln w="9525">
                      <a:noFill/>
                      <a:headEnd/>
                      <a:tailEnd/>
                    </a:ln>
                  </pic:spPr>
                </pic:pic>
              </a:graphicData>
            </a:graphic>
          </wp:inline>
        </w:drawing>
      </w:r>
    </w:p>
    <w:bookmarkEnd w:id="31"/>
    <w:bookmarkStart w:id="32" w:name="X92e62d06bab4b500f17e26decb39fd1141cd99d"/>
    <w:p>
      <w:pPr>
        <w:pStyle w:val="Heading2"/>
      </w:pPr>
      <w:r>
        <w:t xml:space="preserve">4. Tallies of distinct activity profiles around the index event</w:t>
      </w:r>
    </w:p>
    <w:p>
      <w:pPr>
        <w:pStyle w:val="FirstParagraph"/>
      </w:pPr>
      <w:r>
        <w:t xml:space="preserve">Considered here are the various combinations of activity volume profiles around the index event, in terms of a tally of the number of instances which match the distinct activity volume profile. The particular order or timing of the activities is not a consideration.</w:t>
      </w:r>
    </w:p>
    <w:p>
      <w:pPr>
        <w:pStyle w:val="BodyText"/>
      </w:pPr>
      <w:r>
        <w:t xml:space="preserve">Only the top 10 distinct activity profiles, by frequency, are included here (see the associated</w:t>
      </w:r>
      <w:r>
        <w:t xml:space="preserve"> </w:t>
      </w:r>
      <w:r>
        <w:rPr>
          <w:iCs/>
          <w:i/>
        </w:rPr>
        <w:t xml:space="preserve">tallies_full.xlsx</w:t>
      </w:r>
      <w:r>
        <w:t xml:space="preserve"> </w:t>
      </w:r>
      <w:r>
        <w:t xml:space="preserve">file for the full results).</w:t>
      </w:r>
    </w:p>
    <w:p>
      <w:pPr>
        <w:pStyle w:val="TableCaption"/>
      </w:pPr>
      <w:r>
        <w:t xml:space="preserve">Tally of distinct activity volume profiles BEFORE the index event</w:t>
      </w:r>
    </w:p>
    <w:tbl>
      <w:tblPr>
        <w:tblStyle w:val="Table"/>
        <w:tblW w:type="auto" w:w="0"/>
        <w:tblLook w:firstRow="1" w:lastRow="0" w:firstColumn="0" w:lastColumn="0" w:noHBand="0" w:noVBand="0" w:val="0020"/>
        <w:tblCaption w:val="Tally of distinct activity volume profiles BEFORE the index event"/>
      </w:tblPr>
      <w:tblGrid>
        <w:gridCol w:w="1320"/>
        <w:gridCol w:w="1320"/>
        <w:gridCol w:w="1320"/>
        <w:gridCol w:w="1320"/>
        <w:gridCol w:w="1320"/>
        <w:gridCol w:w="1320"/>
      </w:tblGrid>
      <w:tr>
        <w:trPr>
          <w:tblHeader w:val="true"/>
        </w:trPr>
        <w:tc>
          <w:tcPr/>
          <w:p>
            <w:pPr>
              <w:pStyle w:val="Compact"/>
              <w:jc w:val="center"/>
            </w:pPr>
            <w:r>
              <w:t xml:space="preserve">A+E</w:t>
            </w:r>
          </w:p>
        </w:tc>
        <w:tc>
          <w:tcPr/>
          <w:p>
            <w:pPr>
              <w:pStyle w:val="Compact"/>
              <w:jc w:val="center"/>
            </w:pPr>
            <w:r>
              <w:t xml:space="preserve">999 (all types)</w:t>
            </w:r>
          </w:p>
        </w:tc>
        <w:tc>
          <w:tcPr/>
          <w:p>
            <w:pPr>
              <w:pStyle w:val="Compact"/>
              <w:jc w:val="center"/>
            </w:pPr>
            <w:r>
              <w:t xml:space="preserve">111</w:t>
            </w:r>
          </w:p>
        </w:tc>
        <w:tc>
          <w:tcPr/>
          <w:p>
            <w:pPr>
              <w:pStyle w:val="Compact"/>
              <w:jc w:val="center"/>
            </w:pPr>
            <w:r>
              <w:t xml:space="preserve">GP</w:t>
            </w:r>
          </w:p>
        </w:tc>
        <w:tc>
          <w:tcPr/>
          <w:p>
            <w:pPr>
              <w:pStyle w:val="Compact"/>
              <w:jc w:val="right"/>
            </w:pPr>
            <w:r>
              <w:t xml:space="preserve">Freq</w:t>
            </w:r>
          </w:p>
        </w:tc>
        <w:tc>
          <w:tcPr/>
          <w:p>
            <w:pPr>
              <w:pStyle w:val="Compact"/>
              <w:jc w:val="right"/>
            </w:pPr>
            <w:r>
              <w:t xml:space="preserve">Percent</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right"/>
            </w:pPr>
            <w:r>
              <w:t xml:space="preserve">280</w:t>
            </w:r>
          </w:p>
        </w:tc>
        <w:tc>
          <w:tcPr/>
          <w:p>
            <w:pPr>
              <w:pStyle w:val="Compact"/>
              <w:jc w:val="right"/>
            </w:pPr>
            <w:r>
              <w:t xml:space="preserve">42%</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right"/>
            </w:pPr>
            <w:r>
              <w:t xml:space="preserve">83</w:t>
            </w:r>
          </w:p>
        </w:tc>
        <w:tc>
          <w:tcPr/>
          <w:p>
            <w:pPr>
              <w:pStyle w:val="Compact"/>
              <w:jc w:val="right"/>
            </w:pPr>
            <w:r>
              <w:t xml:space="preserve">12%</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right"/>
            </w:pPr>
            <w:r>
              <w:t xml:space="preserve">82</w:t>
            </w:r>
          </w:p>
        </w:tc>
        <w:tc>
          <w:tcPr/>
          <w:p>
            <w:pPr>
              <w:pStyle w:val="Compact"/>
              <w:jc w:val="right"/>
            </w:pPr>
            <w:r>
              <w:t xml:space="preserve">12%</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2</w:t>
            </w:r>
          </w:p>
        </w:tc>
        <w:tc>
          <w:tcPr/>
          <w:p>
            <w:pPr>
              <w:pStyle w:val="Compact"/>
              <w:jc w:val="right"/>
            </w:pPr>
            <w:r>
              <w:t xml:space="preserve">29</w:t>
            </w:r>
          </w:p>
        </w:tc>
        <w:tc>
          <w:tcPr/>
          <w:p>
            <w:pPr>
              <w:pStyle w:val="Compact"/>
              <w:jc w:val="right"/>
            </w:pPr>
            <w:r>
              <w:t xml:space="preserve">4%</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c>
          <w:tcPr/>
          <w:p>
            <w:pPr>
              <w:pStyle w:val="Compact"/>
              <w:jc w:val="right"/>
            </w:pPr>
            <w:r>
              <w:t xml:space="preserve">29</w:t>
            </w:r>
          </w:p>
        </w:tc>
        <w:tc>
          <w:tcPr/>
          <w:p>
            <w:pPr>
              <w:pStyle w:val="Compact"/>
              <w:jc w:val="right"/>
            </w:pPr>
            <w:r>
              <w:t xml:space="preserve">4%</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2</w:t>
            </w:r>
          </w:p>
        </w:tc>
        <w:tc>
          <w:tcPr/>
          <w:p>
            <w:pPr>
              <w:pStyle w:val="Compact"/>
              <w:jc w:val="right"/>
            </w:pPr>
            <w:r>
              <w:t xml:space="preserve">16</w:t>
            </w:r>
          </w:p>
        </w:tc>
        <w:tc>
          <w:tcPr/>
          <w:p>
            <w:pPr>
              <w:pStyle w:val="Compact"/>
              <w:jc w:val="right"/>
            </w:pPr>
            <w:r>
              <w:t xml:space="preserve">2%</w:t>
            </w:r>
          </w:p>
        </w:tc>
      </w:tr>
      <w:tr>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right"/>
            </w:pPr>
            <w:r>
              <w:t xml:space="preserve">10</w:t>
            </w:r>
          </w:p>
        </w:tc>
        <w:tc>
          <w:tcPr/>
          <w:p>
            <w:pPr>
              <w:pStyle w:val="Compact"/>
              <w:jc w:val="right"/>
            </w:pPr>
            <w:r>
              <w:t xml:space="preserve">1%</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3</w:t>
            </w:r>
          </w:p>
        </w:tc>
        <w:tc>
          <w:tcPr/>
          <w:p>
            <w:pPr>
              <w:pStyle w:val="Compact"/>
              <w:jc w:val="right"/>
            </w:pPr>
            <w:r>
              <w:t xml:space="preserve">9</w:t>
            </w:r>
          </w:p>
        </w:tc>
        <w:tc>
          <w:tcPr/>
          <w:p>
            <w:pPr>
              <w:pStyle w:val="Compact"/>
              <w:jc w:val="right"/>
            </w:pPr>
            <w:r>
              <w:t xml:space="preserve">1%</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4</w:t>
            </w:r>
          </w:p>
        </w:tc>
        <w:tc>
          <w:tcPr/>
          <w:p>
            <w:pPr>
              <w:pStyle w:val="Compact"/>
              <w:jc w:val="right"/>
            </w:pPr>
            <w:r>
              <w:t xml:space="preserve">8</w:t>
            </w:r>
          </w:p>
        </w:tc>
        <w:tc>
          <w:tcPr/>
          <w:p>
            <w:pPr>
              <w:pStyle w:val="Compact"/>
              <w:jc w:val="right"/>
            </w:pPr>
            <w:r>
              <w:t xml:space="preserve">1%</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2</w:t>
            </w:r>
          </w:p>
        </w:tc>
        <w:tc>
          <w:tcPr/>
          <w:p>
            <w:pPr>
              <w:pStyle w:val="Compact"/>
              <w:jc w:val="center"/>
            </w:pPr>
            <w:r>
              <w:t xml:space="preserve">0</w:t>
            </w:r>
          </w:p>
        </w:tc>
        <w:tc>
          <w:tcPr/>
          <w:p>
            <w:pPr>
              <w:pStyle w:val="Compact"/>
              <w:jc w:val="right"/>
            </w:pPr>
            <w:r>
              <w:t xml:space="preserve">7</w:t>
            </w:r>
          </w:p>
        </w:tc>
        <w:tc>
          <w:tcPr/>
          <w:p>
            <w:pPr>
              <w:pStyle w:val="Compact"/>
              <w:jc w:val="right"/>
            </w:pPr>
            <w:r>
              <w:t xml:space="preserve">1%</w:t>
            </w:r>
          </w:p>
        </w:tc>
      </w:tr>
    </w:tbl>
    <w:p/>
    <w:p>
      <w:pPr>
        <w:pStyle w:val="TableCaption"/>
      </w:pPr>
      <w:r>
        <w:t xml:space="preserve">Tally of distinct activity volume profiles AFTER the index event</w:t>
      </w:r>
    </w:p>
    <w:tbl>
      <w:tblPr>
        <w:tblStyle w:val="Table"/>
        <w:tblW w:type="auto" w:w="0"/>
        <w:tblLook w:firstRow="1" w:lastRow="0" w:firstColumn="0" w:lastColumn="0" w:noHBand="0" w:noVBand="0" w:val="0020"/>
        <w:tblCaption w:val="Tally of distinct activity volume profiles AFTER the index event"/>
      </w:tblPr>
      <w:tblGrid>
        <w:gridCol w:w="1320"/>
        <w:gridCol w:w="1320"/>
        <w:gridCol w:w="1320"/>
        <w:gridCol w:w="1320"/>
        <w:gridCol w:w="1320"/>
        <w:gridCol w:w="1320"/>
      </w:tblGrid>
      <w:tr>
        <w:trPr>
          <w:tblHeader w:val="true"/>
        </w:trPr>
        <w:tc>
          <w:tcPr/>
          <w:p>
            <w:pPr>
              <w:pStyle w:val="Compact"/>
              <w:jc w:val="center"/>
            </w:pPr>
            <w:r>
              <w:t xml:space="preserve">A+E</w:t>
            </w:r>
          </w:p>
        </w:tc>
        <w:tc>
          <w:tcPr/>
          <w:p>
            <w:pPr>
              <w:pStyle w:val="Compact"/>
              <w:jc w:val="center"/>
            </w:pPr>
            <w:r>
              <w:t xml:space="preserve">999 (all types)</w:t>
            </w:r>
          </w:p>
        </w:tc>
        <w:tc>
          <w:tcPr/>
          <w:p>
            <w:pPr>
              <w:pStyle w:val="Compact"/>
              <w:jc w:val="center"/>
            </w:pPr>
            <w:r>
              <w:t xml:space="preserve">111</w:t>
            </w:r>
          </w:p>
        </w:tc>
        <w:tc>
          <w:tcPr/>
          <w:p>
            <w:pPr>
              <w:pStyle w:val="Compact"/>
              <w:jc w:val="center"/>
            </w:pPr>
            <w:r>
              <w:t xml:space="preserve">GP</w:t>
            </w:r>
          </w:p>
        </w:tc>
        <w:tc>
          <w:tcPr/>
          <w:p>
            <w:pPr>
              <w:pStyle w:val="Compact"/>
              <w:jc w:val="right"/>
            </w:pPr>
            <w:r>
              <w:t xml:space="preserve">Freq</w:t>
            </w:r>
          </w:p>
        </w:tc>
        <w:tc>
          <w:tcPr/>
          <w:p>
            <w:pPr>
              <w:pStyle w:val="Compact"/>
              <w:jc w:val="right"/>
            </w:pPr>
            <w:r>
              <w:t xml:space="preserve">Percent</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right"/>
            </w:pPr>
            <w:r>
              <w:t xml:space="preserve">294</w:t>
            </w:r>
          </w:p>
        </w:tc>
        <w:tc>
          <w:tcPr/>
          <w:p>
            <w:pPr>
              <w:pStyle w:val="Compact"/>
              <w:jc w:val="right"/>
            </w:pPr>
            <w:r>
              <w:t xml:space="preserve">44%</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right"/>
            </w:pPr>
            <w:r>
              <w:t xml:space="preserve">97</w:t>
            </w:r>
          </w:p>
        </w:tc>
        <w:tc>
          <w:tcPr/>
          <w:p>
            <w:pPr>
              <w:pStyle w:val="Compact"/>
              <w:jc w:val="right"/>
            </w:pPr>
            <w:r>
              <w:t xml:space="preserve">15%</w:t>
            </w:r>
          </w:p>
        </w:tc>
      </w:tr>
      <w:tr>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right"/>
            </w:pPr>
            <w:r>
              <w:t xml:space="preserve">52</w:t>
            </w:r>
          </w:p>
        </w:tc>
        <w:tc>
          <w:tcPr/>
          <w:p>
            <w:pPr>
              <w:pStyle w:val="Compact"/>
              <w:jc w:val="right"/>
            </w:pPr>
            <w:r>
              <w:t xml:space="preserve">8%</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2</w:t>
            </w:r>
          </w:p>
        </w:tc>
        <w:tc>
          <w:tcPr/>
          <w:p>
            <w:pPr>
              <w:pStyle w:val="Compact"/>
              <w:jc w:val="right"/>
            </w:pPr>
            <w:r>
              <w:t xml:space="preserve">37</w:t>
            </w:r>
          </w:p>
        </w:tc>
        <w:tc>
          <w:tcPr/>
          <w:p>
            <w:pPr>
              <w:pStyle w:val="Compact"/>
              <w:jc w:val="right"/>
            </w:pPr>
            <w:r>
              <w:t xml:space="preserve">6%</w:t>
            </w:r>
          </w:p>
        </w:tc>
      </w:tr>
      <w:tr>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right"/>
            </w:pPr>
            <w:r>
              <w:t xml:space="preserve">20</w:t>
            </w:r>
          </w:p>
        </w:tc>
        <w:tc>
          <w:tcPr/>
          <w:p>
            <w:pPr>
              <w:pStyle w:val="Compact"/>
              <w:jc w:val="right"/>
            </w:pPr>
            <w:r>
              <w:t xml:space="preserve">3%</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3</w:t>
            </w:r>
          </w:p>
        </w:tc>
        <w:tc>
          <w:tcPr/>
          <w:p>
            <w:pPr>
              <w:pStyle w:val="Compact"/>
              <w:jc w:val="right"/>
            </w:pPr>
            <w:r>
              <w:t xml:space="preserve">17</w:t>
            </w:r>
          </w:p>
        </w:tc>
        <w:tc>
          <w:tcPr/>
          <w:p>
            <w:pPr>
              <w:pStyle w:val="Compact"/>
              <w:jc w:val="right"/>
            </w:pPr>
            <w:r>
              <w:t xml:space="preserve">3%</w:t>
            </w:r>
          </w:p>
        </w:tc>
      </w:tr>
      <w:tr>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right"/>
            </w:pPr>
            <w:r>
              <w:t xml:space="preserve">16</w:t>
            </w:r>
          </w:p>
        </w:tc>
        <w:tc>
          <w:tcPr/>
          <w:p>
            <w:pPr>
              <w:pStyle w:val="Compact"/>
              <w:jc w:val="right"/>
            </w:pPr>
            <w:r>
              <w:t xml:space="preserve">2%</w:t>
            </w:r>
          </w:p>
        </w:tc>
      </w:tr>
      <w:tr>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right"/>
            </w:pPr>
            <w:r>
              <w:t xml:space="preserve">12</w:t>
            </w:r>
          </w:p>
        </w:tc>
        <w:tc>
          <w:tcPr/>
          <w:p>
            <w:pPr>
              <w:pStyle w:val="Compact"/>
              <w:jc w:val="right"/>
            </w:pPr>
            <w:r>
              <w:t xml:space="preserve">2%</w:t>
            </w:r>
          </w:p>
        </w:tc>
      </w:tr>
      <w:tr>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2</w:t>
            </w:r>
          </w:p>
        </w:tc>
        <w:tc>
          <w:tcPr/>
          <w:p>
            <w:pPr>
              <w:pStyle w:val="Compact"/>
              <w:jc w:val="right"/>
            </w:pPr>
            <w:r>
              <w:t xml:space="preserve">7</w:t>
            </w:r>
          </w:p>
        </w:tc>
        <w:tc>
          <w:tcPr/>
          <w:p>
            <w:pPr>
              <w:pStyle w:val="Compact"/>
              <w:jc w:val="right"/>
            </w:pPr>
            <w:r>
              <w:t xml:space="preserve">1%</w:t>
            </w:r>
          </w:p>
        </w:tc>
      </w:tr>
      <w:tr>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c>
          <w:tcPr/>
          <w:p>
            <w:pPr>
              <w:pStyle w:val="Compact"/>
              <w:jc w:val="right"/>
            </w:pPr>
            <w:r>
              <w:t xml:space="preserve">7</w:t>
            </w:r>
          </w:p>
        </w:tc>
        <w:tc>
          <w:tcPr/>
          <w:p>
            <w:pPr>
              <w:pStyle w:val="Compact"/>
              <w:jc w:val="right"/>
            </w:pPr>
            <w:r>
              <w:t xml:space="preserve">1%</w:t>
            </w:r>
          </w:p>
        </w:tc>
      </w:tr>
    </w:tbl>
    <w:p/>
    <w:p>
      <w:pPr>
        <w:pStyle w:val="TableCaption"/>
      </w:pPr>
      <w:r>
        <w:t xml:space="preserve">Tally of distinct activity volume profiles both BEFORE (B) and AFTER (A) the index event</w:t>
      </w:r>
    </w:p>
    <w:tbl>
      <w:tblPr>
        <w:tblStyle w:val="Table"/>
        <w:tblW w:type="pct" w:w="5000"/>
        <w:tblLook w:firstRow="1" w:lastRow="0" w:firstColumn="0" w:lastColumn="0" w:noHBand="0" w:noVBand="0" w:val="0020"/>
        <w:tblCaption w:val="Tally of distinct activity volume profiles both BEFORE (B) and AFTER (A) the index event"/>
      </w:tblPr>
      <w:tblGrid>
        <w:gridCol w:w="609"/>
        <w:gridCol w:w="1653"/>
        <w:gridCol w:w="609"/>
        <w:gridCol w:w="522"/>
        <w:gridCol w:w="609"/>
        <w:gridCol w:w="1653"/>
        <w:gridCol w:w="609"/>
        <w:gridCol w:w="522"/>
        <w:gridCol w:w="435"/>
        <w:gridCol w:w="696"/>
      </w:tblGrid>
      <w:tr>
        <w:trPr>
          <w:tblHeader w:val="true"/>
        </w:trPr>
        <w:tc>
          <w:tcPr/>
          <w:p>
            <w:pPr>
              <w:pStyle w:val="Compact"/>
              <w:jc w:val="center"/>
            </w:pPr>
            <w:r>
              <w:t xml:space="preserve">B:111</w:t>
            </w:r>
          </w:p>
        </w:tc>
        <w:tc>
          <w:tcPr/>
          <w:p>
            <w:pPr>
              <w:pStyle w:val="Compact"/>
              <w:jc w:val="center"/>
            </w:pPr>
            <w:r>
              <w:t xml:space="preserve">B:999 (all types)</w:t>
            </w:r>
          </w:p>
        </w:tc>
        <w:tc>
          <w:tcPr/>
          <w:p>
            <w:pPr>
              <w:pStyle w:val="Compact"/>
              <w:jc w:val="center"/>
            </w:pPr>
            <w:r>
              <w:t xml:space="preserve">B:A+E</w:t>
            </w:r>
          </w:p>
        </w:tc>
        <w:tc>
          <w:tcPr/>
          <w:p>
            <w:pPr>
              <w:pStyle w:val="Compact"/>
              <w:jc w:val="center"/>
            </w:pPr>
            <w:r>
              <w:t xml:space="preserve">B:GP</w:t>
            </w:r>
          </w:p>
        </w:tc>
        <w:tc>
          <w:tcPr/>
          <w:p>
            <w:pPr>
              <w:pStyle w:val="Compact"/>
              <w:jc w:val="center"/>
            </w:pPr>
            <w:r>
              <w:t xml:space="preserve">A:111</w:t>
            </w:r>
          </w:p>
        </w:tc>
        <w:tc>
          <w:tcPr/>
          <w:p>
            <w:pPr>
              <w:pStyle w:val="Compact"/>
              <w:jc w:val="center"/>
            </w:pPr>
            <w:r>
              <w:t xml:space="preserve">A:999 (all types)</w:t>
            </w:r>
          </w:p>
        </w:tc>
        <w:tc>
          <w:tcPr/>
          <w:p>
            <w:pPr>
              <w:pStyle w:val="Compact"/>
              <w:jc w:val="center"/>
            </w:pPr>
            <w:r>
              <w:t xml:space="preserve">A:A+E</w:t>
            </w:r>
          </w:p>
        </w:tc>
        <w:tc>
          <w:tcPr/>
          <w:p>
            <w:pPr>
              <w:pStyle w:val="Compact"/>
              <w:jc w:val="center"/>
            </w:pPr>
            <w:r>
              <w:t xml:space="preserve">A:GP</w:t>
            </w:r>
          </w:p>
        </w:tc>
        <w:tc>
          <w:tcPr/>
          <w:p>
            <w:pPr>
              <w:pStyle w:val="Compact"/>
              <w:jc w:val="right"/>
            </w:pPr>
            <w:r>
              <w:t xml:space="preserve">Freq</w:t>
            </w:r>
          </w:p>
        </w:tc>
        <w:tc>
          <w:tcPr/>
          <w:p>
            <w:pPr>
              <w:pStyle w:val="Compact"/>
              <w:jc w:val="right"/>
            </w:pPr>
            <w:r>
              <w:t xml:space="preserve">Percent</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right"/>
            </w:pPr>
            <w:r>
              <w:t xml:space="preserve">151</w:t>
            </w:r>
          </w:p>
        </w:tc>
        <w:tc>
          <w:tcPr/>
          <w:p>
            <w:pPr>
              <w:pStyle w:val="Compact"/>
              <w:jc w:val="right"/>
            </w:pPr>
            <w:r>
              <w:t xml:space="preserve">23%</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right"/>
            </w:pPr>
            <w:r>
              <w:t xml:space="preserve">38</w:t>
            </w:r>
          </w:p>
        </w:tc>
        <w:tc>
          <w:tcPr/>
          <w:p>
            <w:pPr>
              <w:pStyle w:val="Compact"/>
              <w:jc w:val="right"/>
            </w:pPr>
            <w:r>
              <w:t xml:space="preserve">6%</w:t>
            </w:r>
          </w:p>
        </w:tc>
      </w:tr>
      <w:tr>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right"/>
            </w:pPr>
            <w:r>
              <w:t xml:space="preserve">38</w:t>
            </w:r>
          </w:p>
        </w:tc>
        <w:tc>
          <w:tcPr/>
          <w:p>
            <w:pPr>
              <w:pStyle w:val="Compact"/>
              <w:jc w:val="right"/>
            </w:pPr>
            <w:r>
              <w:t xml:space="preserve">6%</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right"/>
            </w:pPr>
            <w:r>
              <w:t xml:space="preserve">37</w:t>
            </w:r>
          </w:p>
        </w:tc>
        <w:tc>
          <w:tcPr/>
          <w:p>
            <w:pPr>
              <w:pStyle w:val="Compact"/>
              <w:jc w:val="right"/>
            </w:pPr>
            <w:r>
              <w:t xml:space="preserve">6%</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right"/>
            </w:pPr>
            <w:r>
              <w:t xml:space="preserve">23</w:t>
            </w:r>
          </w:p>
        </w:tc>
        <w:tc>
          <w:tcPr/>
          <w:p>
            <w:pPr>
              <w:pStyle w:val="Compact"/>
              <w:jc w:val="right"/>
            </w:pPr>
            <w:r>
              <w:t xml:space="preserve">3%</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right"/>
            </w:pPr>
            <w:r>
              <w:t xml:space="preserve">13</w:t>
            </w:r>
          </w:p>
        </w:tc>
        <w:tc>
          <w:tcPr/>
          <w:p>
            <w:pPr>
              <w:pStyle w:val="Compact"/>
              <w:jc w:val="right"/>
            </w:pPr>
            <w:r>
              <w:t xml:space="preserve">2%</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2</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right"/>
            </w:pPr>
            <w:r>
              <w:t xml:space="preserve">12</w:t>
            </w:r>
          </w:p>
        </w:tc>
        <w:tc>
          <w:tcPr/>
          <w:p>
            <w:pPr>
              <w:pStyle w:val="Compact"/>
              <w:jc w:val="right"/>
            </w:pPr>
            <w:r>
              <w:t xml:space="preserve">2%</w:t>
            </w:r>
          </w:p>
        </w:tc>
      </w:tr>
      <w:tr>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right"/>
            </w:pPr>
            <w:r>
              <w:t xml:space="preserve">12</w:t>
            </w:r>
          </w:p>
        </w:tc>
        <w:tc>
          <w:tcPr/>
          <w:p>
            <w:pPr>
              <w:pStyle w:val="Compact"/>
              <w:jc w:val="right"/>
            </w:pPr>
            <w:r>
              <w:t xml:space="preserve">2%</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2</w:t>
            </w:r>
          </w:p>
        </w:tc>
        <w:tc>
          <w:tcPr/>
          <w:p>
            <w:pPr>
              <w:pStyle w:val="Compact"/>
              <w:jc w:val="right"/>
            </w:pPr>
            <w:r>
              <w:t xml:space="preserve">11</w:t>
            </w:r>
          </w:p>
        </w:tc>
        <w:tc>
          <w:tcPr/>
          <w:p>
            <w:pPr>
              <w:pStyle w:val="Compact"/>
              <w:jc w:val="right"/>
            </w:pPr>
            <w:r>
              <w:t xml:space="preserve">2%</w:t>
            </w:r>
          </w:p>
        </w:tc>
      </w:tr>
      <w:tr>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right"/>
            </w:pPr>
            <w:r>
              <w:t xml:space="preserve">11</w:t>
            </w:r>
          </w:p>
        </w:tc>
        <w:tc>
          <w:tcPr/>
          <w:p>
            <w:pPr>
              <w:pStyle w:val="Compact"/>
              <w:jc w:val="right"/>
            </w:pPr>
            <w:r>
              <w:t xml:space="preserve">2%</w:t>
            </w:r>
          </w:p>
        </w:tc>
      </w:tr>
    </w:tbl>
    <w:bookmarkEnd w:id="32"/>
    <w:bookmarkStart w:id="42" w:name="X1c1e03fadb84f1ac50f85a6d510fdbca49445c9"/>
    <w:p>
      <w:pPr>
        <w:pStyle w:val="Heading2"/>
      </w:pPr>
      <w:r>
        <w:t xml:space="preserve">5. Trace-plots displaying activity order around the index event</w:t>
      </w:r>
    </w:p>
    <w:p>
      <w:pPr>
        <w:pStyle w:val="FirstParagraph"/>
      </w:pPr>
      <w:r>
        <w:t xml:space="preserve">Building on the tallies, trace-plots can be used to illustrate the particular order of activities. The three columns show the frequency and percentage (which should equate to the tallies in the previous section) and the cumulative percentage</w:t>
      </w:r>
    </w:p>
    <w:p>
      <w:pPr>
        <w:pStyle w:val="BodyText"/>
      </w:pPr>
      <w:r>
        <w:t xml:space="preserve">Only the top 10 distinct activity profiles are included here (see the associated</w:t>
      </w:r>
      <w:r>
        <w:t xml:space="preserve"> </w:t>
      </w:r>
      <w:r>
        <w:rPr>
          <w:iCs/>
          <w:i/>
        </w:rPr>
        <w:t xml:space="preserve">trace_before_full.pdf</w:t>
      </w:r>
      <w:r>
        <w:t xml:space="preserve">,</w:t>
      </w:r>
      <w:r>
        <w:t xml:space="preserve"> </w:t>
      </w:r>
      <w:r>
        <w:rPr>
          <w:iCs/>
          <w:i/>
        </w:rPr>
        <w:t xml:space="preserve">trace_after_full.pdf</w:t>
      </w:r>
      <w:r>
        <w:t xml:space="preserve"> </w:t>
      </w:r>
      <w:r>
        <w:t xml:space="preserve">and</w:t>
      </w:r>
      <w:r>
        <w:t xml:space="preserve"> </w:t>
      </w:r>
      <w:r>
        <w:rPr>
          <w:iCs/>
          <w:i/>
        </w:rPr>
        <w:t xml:space="preserve">trace_both_full.pdf</w:t>
      </w:r>
      <w:r>
        <w:t xml:space="preserve"> </w:t>
      </w:r>
      <w:r>
        <w:t xml:space="preserve">files for the full results).</w:t>
      </w:r>
    </w:p>
    <w:p>
      <w:pPr>
        <w:pStyle w:val="BodyText"/>
      </w:pPr>
      <w:r>
        <w:drawing>
          <wp:inline>
            <wp:extent cx="5334000" cy="3282461"/>
            <wp:effectExtent b="0" l="0" r="0" t="0"/>
            <wp:docPr descr="" title="" id="34" name="Picture"/>
            <a:graphic>
              <a:graphicData uri="http://schemas.openxmlformats.org/drawingml/2006/picture">
                <pic:pic>
                  <pic:nvPicPr>
                    <pic:cNvPr descr="S:\Finance\Shared%20Area\BNSSG%20-%20BI\8%20Modelling%20and%20Analytics\tools\internal\prepost_activity\2022-11-11%2012-12-21\report_files/figure-docx/unnamed-chunk-3-1.png" id="35" name="Picture"/>
                    <pic:cNvPicPr>
                      <a:picLocks noChangeArrowheads="1" noChangeAspect="1"/>
                    </pic:cNvPicPr>
                  </pic:nvPicPr>
                  <pic:blipFill>
                    <a:blip r:embed="rId33"/>
                    <a:stretch>
                      <a:fillRect/>
                    </a:stretch>
                  </pic:blipFill>
                  <pic:spPr bwMode="auto">
                    <a:xfrm>
                      <a:off x="0" y="0"/>
                      <a:ext cx="5334000" cy="3282461"/>
                    </a:xfrm>
                    <a:prstGeom prst="rect">
                      <a:avLst/>
                    </a:prstGeom>
                    <a:noFill/>
                    <a:ln w="9525">
                      <a:noFill/>
                      <a:headEnd/>
                      <a:tailEnd/>
                    </a:ln>
                  </pic:spPr>
                </pic:pic>
              </a:graphicData>
            </a:graphic>
          </wp:inline>
        </w:drawing>
      </w:r>
    </w:p>
    <w:p>
      <w:pPr>
        <w:pStyle w:val="BodyText"/>
      </w:pPr>
      <w:r>
        <w:drawing>
          <wp:inline>
            <wp:extent cx="5334000" cy="3282461"/>
            <wp:effectExtent b="0" l="0" r="0" t="0"/>
            <wp:docPr descr="" title="" id="37" name="Picture"/>
            <a:graphic>
              <a:graphicData uri="http://schemas.openxmlformats.org/drawingml/2006/picture">
                <pic:pic>
                  <pic:nvPicPr>
                    <pic:cNvPr descr="S:\Finance\Shared%20Area\BNSSG%20-%20BI\8%20Modelling%20and%20Analytics\tools\internal\prepost_activity\2022-11-11%2012-12-21\report_files/figure-docx/unnamed-chunk-4-1.png" id="38" name="Picture"/>
                    <pic:cNvPicPr>
                      <a:picLocks noChangeArrowheads="1" noChangeAspect="1"/>
                    </pic:cNvPicPr>
                  </pic:nvPicPr>
                  <pic:blipFill>
                    <a:blip r:embed="rId36"/>
                    <a:stretch>
                      <a:fillRect/>
                    </a:stretch>
                  </pic:blipFill>
                  <pic:spPr bwMode="auto">
                    <a:xfrm>
                      <a:off x="0" y="0"/>
                      <a:ext cx="5334000" cy="3282461"/>
                    </a:xfrm>
                    <a:prstGeom prst="rect">
                      <a:avLst/>
                    </a:prstGeom>
                    <a:noFill/>
                    <a:ln w="9525">
                      <a:noFill/>
                      <a:headEnd/>
                      <a:tailEnd/>
                    </a:ln>
                  </pic:spPr>
                </pic:pic>
              </a:graphicData>
            </a:graphic>
          </wp:inline>
        </w:drawing>
      </w:r>
    </w:p>
    <w:p>
      <w:pPr>
        <w:pStyle w:val="BodyText"/>
      </w:pPr>
      <w:r>
        <w:drawing>
          <wp:inline>
            <wp:extent cx="5334000" cy="3282461"/>
            <wp:effectExtent b="0" l="0" r="0" t="0"/>
            <wp:docPr descr="" title="" id="40" name="Picture"/>
            <a:graphic>
              <a:graphicData uri="http://schemas.openxmlformats.org/drawingml/2006/picture">
                <pic:pic>
                  <pic:nvPicPr>
                    <pic:cNvPr descr="S:\Finance\Shared%20Area\BNSSG%20-%20BI\8%20Modelling%20and%20Analytics\tools\internal\prepost_activity\2022-11-11%2012-12-21\report_files/figure-docx/unnamed-chunk-5-1.png" id="41" name="Picture"/>
                    <pic:cNvPicPr>
                      <a:picLocks noChangeArrowheads="1" noChangeAspect="1"/>
                    </pic:cNvPicPr>
                  </pic:nvPicPr>
                  <pic:blipFill>
                    <a:blip r:embed="rId39"/>
                    <a:stretch>
                      <a:fillRect/>
                    </a:stretch>
                  </pic:blipFill>
                  <pic:spPr bwMode="auto">
                    <a:xfrm>
                      <a:off x="0" y="0"/>
                      <a:ext cx="5334000" cy="3282461"/>
                    </a:xfrm>
                    <a:prstGeom prst="rect">
                      <a:avLst/>
                    </a:prstGeom>
                    <a:noFill/>
                    <a:ln w="9525">
                      <a:noFill/>
                      <a:headEnd/>
                      <a:tailEnd/>
                    </a:ln>
                  </pic:spPr>
                </pic:pic>
              </a:graphicData>
            </a:graphic>
          </wp:inline>
        </w:drawing>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rPr>
          <w:iCs/>
          <w:i/>
        </w:rPr>
        <w:t xml:space="preserve">Created</w:t>
      </w:r>
      <w:r>
        <w:rPr>
          <w:iCs/>
          <w:i/>
        </w:rPr>
        <w:t xml:space="preserve"> </w:t>
      </w:r>
      <w:r>
        <w:rPr>
          <w:iCs/>
          <w:i/>
        </w:rPr>
        <w:t xml:space="preserve">using</w:t>
      </w:r>
      <w:r>
        <w:rPr>
          <w:iCs/>
          <w:i/>
        </w:rPr>
        <w:t xml:space="preserve"> </w:t>
      </w:r>
      <w:r>
        <w:rPr>
          <w:iCs/>
          <w:i/>
        </w:rPr>
        <w:t xml:space="preserve">an</w:t>
      </w:r>
      <w:r>
        <w:rPr>
          <w:iCs/>
          <w:i/>
        </w:rPr>
        <w:t xml:space="preserve"> </w:t>
      </w:r>
      <w:r>
        <w:rPr>
          <w:iCs/>
          <w:i/>
        </w:rPr>
        <w:t xml:space="preserve">R</w:t>
      </w:r>
      <w:r>
        <w:rPr>
          <w:iCs/>
          <w:i/>
        </w:rPr>
        <w:t xml:space="preserve"> </w:t>
      </w:r>
      <w:r>
        <w:rPr>
          <w:iCs/>
          <w:i/>
        </w:rPr>
        <w:t xml:space="preserve">script</w:t>
      </w:r>
      <w:r>
        <w:rPr>
          <w:iCs/>
          <w:i/>
        </w:rPr>
        <w:t xml:space="preserve"> </w:t>
      </w:r>
      <w:r>
        <w:rPr>
          <w:iCs/>
          <w:i/>
        </w:rPr>
        <w:t xml:space="preserve">developed</w:t>
      </w:r>
      <w:r>
        <w:rPr>
          <w:iCs/>
          <w:i/>
        </w:rPr>
        <w:t xml:space="preserve"> </w:t>
      </w:r>
      <w:r>
        <w:rPr>
          <w:iCs/>
          <w:i/>
        </w:rPr>
        <w:t xml:space="preserve">by</w:t>
      </w:r>
      <w:r>
        <w:rPr>
          <w:iCs/>
          <w:i/>
        </w:rPr>
        <w:t xml:space="preserve"> </w:t>
      </w:r>
      <w:r>
        <w:rPr>
          <w:iCs/>
          <w:i/>
        </w:rPr>
        <w:t xml:space="preserve">ICB</w:t>
      </w:r>
      <w:r>
        <w:rPr>
          <w:iCs/>
          <w:i/>
        </w:rPr>
        <w:t xml:space="preserve"> </w:t>
      </w:r>
      <w:r>
        <w:rPr>
          <w:iCs/>
          <w:i/>
        </w:rPr>
        <w:t xml:space="preserve">Modelling</w:t>
      </w:r>
      <w:r>
        <w:rPr>
          <w:iCs/>
          <w:i/>
        </w:rPr>
        <w:t xml:space="preserve"> </w:t>
      </w:r>
      <w:r>
        <w:rPr>
          <w:iCs/>
          <w:i/>
        </w:rPr>
        <w:t xml:space="preserve">and</w:t>
      </w:r>
      <w:r>
        <w:rPr>
          <w:iCs/>
          <w:i/>
        </w:rPr>
        <w:t xml:space="preserve"> </w:t>
      </w:r>
      <w:r>
        <w:rPr>
          <w:iCs/>
          <w:i/>
        </w:rPr>
        <w:t xml:space="preserve">Analytics.</w:t>
      </w:r>
      <w:r>
        <w:rPr>
          <w:iCs/>
          <w:i/>
        </w:rPr>
        <w:t xml:space="preserve"> </w:t>
      </w:r>
      <w:r>
        <w:rPr>
          <w:iCs/>
          <w:i/>
        </w:rPr>
        <w:t xml:space="preserve">Suggestions,</w:t>
      </w:r>
      <w:r>
        <w:rPr>
          <w:iCs/>
          <w:i/>
        </w:rPr>
        <w:t xml:space="preserve"> </w:t>
      </w:r>
      <w:r>
        <w:rPr>
          <w:iCs/>
          <w:i/>
        </w:rPr>
        <w:t xml:space="preserve">comments</w:t>
      </w:r>
      <w:r>
        <w:rPr>
          <w:iCs/>
          <w:i/>
        </w:rPr>
        <w:t xml:space="preserve"> </w:t>
      </w:r>
      <w:r>
        <w:rPr>
          <w:iCs/>
          <w:i/>
        </w:rPr>
        <w:t xml:space="preserve">and</w:t>
      </w:r>
      <w:r>
        <w:rPr>
          <w:iCs/>
          <w:i/>
        </w:rPr>
        <w:t xml:space="preserve"> </w:t>
      </w:r>
      <w:r>
        <w:rPr>
          <w:iCs/>
          <w:i/>
        </w:rPr>
        <w:t xml:space="preserve">bug</w:t>
      </w:r>
      <w:r>
        <w:rPr>
          <w:iCs/>
          <w:i/>
        </w:rPr>
        <w:t xml:space="preserve"> </w:t>
      </w:r>
      <w:r>
        <w:rPr>
          <w:iCs/>
          <w:i/>
        </w:rPr>
        <w:t xml:space="preserve">reports</w:t>
      </w:r>
      <w:r>
        <w:rPr>
          <w:iCs/>
          <w:i/>
        </w:rPr>
        <w:t xml:space="preserve"> </w:t>
      </w:r>
      <w:r>
        <w:rPr>
          <w:iCs/>
          <w:i/>
        </w:rPr>
        <w:t xml:space="preserve">to</w:t>
      </w:r>
      <w:r>
        <w:rPr>
          <w:iCs/>
          <w:i/>
        </w:rPr>
        <w:t xml:space="preserve"> </w:t>
      </w:r>
      <w:hyperlink r:id="rId22">
        <w:r>
          <w:rPr>
            <w:rStyle w:val="Hyperlink"/>
            <w:iCs/>
            <w:i/>
          </w:rPr>
          <w:t xml:space="preserve">richard.wood16@nhs.net</w:t>
        </w:r>
      </w:hyperlink>
      <w:r>
        <w:rPr>
          <w:iCs/>
          <w:i/>
        </w:rP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22" Target="mailto:richard.wood16@nhs.net" TargetMode="External" /><Relationship Type="http://schemas.openxmlformats.org/officeDocument/2006/relationships/hyperlink" Id="rId20" Target="mailto:some.one123@nhs.net" TargetMode="External" /></Relationships>
</file>

<file path=word/_rels/footnotes.xml.rels><?xml version="1.0" encoding="UTF-8"?><Relationships xmlns="http://schemas.openxmlformats.org/package/2006/relationships"><Relationship Type="http://schemas.openxmlformats.org/officeDocument/2006/relationships/hyperlink" Id="rId22" Target="mailto:richard.wood16@nhs.net" TargetMode="External" /><Relationship Type="http://schemas.openxmlformats.org/officeDocument/2006/relationships/hyperlink" Id="rId20" Target="mailto:some.one123@nhs.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happens 96 hours before and after 999 see &amp; treat calls within the first week of August 2022</dc:title>
  <dc:creator>Some One (some.one123@nhs.net)</dc:creator>
  <cp:keywords/>
  <dcterms:created xsi:type="dcterms:W3CDTF">2022-11-11T12:13:30Z</dcterms:created>
  <dcterms:modified xsi:type="dcterms:W3CDTF">2022-11-11T12:13:30Z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 November 2022</vt:lpwstr>
  </property>
  <property fmtid="{D5CDD505-2E9C-101B-9397-08002B2CF9AE}" pid="3" name="output">
    <vt:lpwstr>word_document</vt:lpwstr>
  </property>
</Properties>
</file>