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markdown/01_md_file.md</w:t>
      </w:r>
    </w:p>
    <w:bookmarkStart w:id="25" w:name="h1"/>
    <w:p>
      <w:pPr>
        <w:pStyle w:val="Heading1"/>
      </w:pPr>
      <w:r>
        <w:t xml:space="preserve">H1</w:t>
      </w:r>
    </w:p>
    <w:bookmarkStart w:id="24" w:name="h2"/>
    <w:p>
      <w:pPr>
        <w:pStyle w:val="Heading2"/>
      </w:pPr>
      <w:r>
        <w:t xml:space="preserve">H2</w:t>
      </w:r>
    </w:p>
    <w:bookmarkStart w:id="23" w:name="h3"/>
    <w:p>
      <w:pPr>
        <w:pStyle w:val="Heading3"/>
      </w:pPr>
      <w:r>
        <w:t xml:space="preserve">H3</w:t>
      </w:r>
    </w:p>
    <w:bookmarkStart w:id="22" w:name="h4"/>
    <w:p>
      <w:pPr>
        <w:pStyle w:val="Heading4"/>
      </w:pPr>
      <w:r>
        <w:t xml:space="preserve">H4</w:t>
      </w:r>
    </w:p>
    <w:p>
      <w:pPr>
        <w:pStyle w:val="FirstParagraph"/>
      </w:pPr>
      <w:r>
        <w:rPr>
          <w:b/>
          <w:bCs/>
        </w:rPr>
        <w:t xml:space="preserve">bold text</w:t>
      </w:r>
    </w:p>
    <w:p>
      <w:pPr>
        <w:pStyle w:val="BodyText"/>
      </w:pPr>
      <w:r>
        <w:rPr>
          <w:i/>
          <w:iCs/>
        </w:rPr>
        <w:t xml:space="preserve">italicized text</w:t>
      </w:r>
    </w:p>
    <w:p>
      <w:pPr>
        <w:pStyle w:val="BodyText"/>
      </w:pPr>
      <w:r>
        <w:t xml:space="preserve">Numbered list</w:t>
      </w:r>
    </w:p>
    <w:p>
      <w:pPr>
        <w:pStyle w:val="Compact"/>
        <w:numPr>
          <w:ilvl w:val="0"/>
          <w:numId w:val="1001"/>
        </w:numPr>
      </w:pPr>
      <w:r>
        <w:t xml:space="preserve">First item</w:t>
      </w:r>
    </w:p>
    <w:p>
      <w:pPr>
        <w:pStyle w:val="Compact"/>
        <w:numPr>
          <w:ilvl w:val="0"/>
          <w:numId w:val="1001"/>
        </w:numPr>
      </w:pPr>
      <w:r>
        <w:t xml:space="preserve">Second item</w:t>
      </w:r>
    </w:p>
    <w:p>
      <w:pPr>
        <w:pStyle w:val="Compact"/>
        <w:numPr>
          <w:ilvl w:val="0"/>
          <w:numId w:val="1001"/>
        </w:numPr>
      </w:pPr>
      <w:r>
        <w:t xml:space="preserve">Third item</w:t>
      </w:r>
    </w:p>
    <w:p>
      <w:pPr>
        <w:pStyle w:val="FirstParagraph"/>
      </w:pPr>
      <w:r>
        <w:t xml:space="preserve">Bulleted list</w:t>
      </w:r>
    </w:p>
    <w:p>
      <w:pPr>
        <w:pStyle w:val="Compact"/>
        <w:numPr>
          <w:ilvl w:val="0"/>
          <w:numId w:val="1002"/>
        </w:numPr>
      </w:pPr>
      <w:r>
        <w:t xml:space="preserve">First item</w:t>
      </w:r>
    </w:p>
    <w:p>
      <w:pPr>
        <w:pStyle w:val="Compact"/>
        <w:numPr>
          <w:ilvl w:val="0"/>
          <w:numId w:val="1002"/>
        </w:numPr>
      </w:pPr>
      <w:r>
        <w:t xml:space="preserve">Second item</w:t>
      </w:r>
    </w:p>
    <w:p>
      <w:pPr>
        <w:pStyle w:val="Compact"/>
        <w:numPr>
          <w:ilvl w:val="0"/>
          <w:numId w:val="1002"/>
        </w:numPr>
      </w:pPr>
      <w:r>
        <w:t xml:space="preserve">Third item</w:t>
      </w:r>
    </w:p>
    <w:p>
      <w:pPr>
        <w:pStyle w:val="FirstParagraph"/>
      </w:pPr>
      <w:r>
        <w:t xml:space="preserve">Here is some 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Markdown Guide</w:t>
        </w:r>
      </w:hyperlink>
    </w:p>
    <w:p>
      <w:pPr>
        <w:pStyle w:val="BodyText"/>
      </w:pPr>
      <w:hyperlink r:id="rId21">
        <w:r>
          <w:rPr>
            <w:rStyle w:val="VerbatimChar"/>
          </w:rPr>
          <w:t xml:space="preserve">{nhsbsaShinyR}</w:t>
        </w:r>
      </w:hyperlink>
    </w:p>
    <w:p>
      <w:pPr>
        <w:pStyle w:val="BodyText"/>
      </w:pPr>
      <w:r>
        <w:t xml:space="preserve">markdown/02_md_file.md</w:t>
      </w:r>
    </w:p>
    <w:bookmarkEnd w:id="22"/>
    <w:bookmarkEnd w:id="23"/>
    <w:bookmarkEnd w:id="24"/>
    <w:bookmarkEnd w:id="25"/>
    <w:bookmarkStart w:id="29" w:name="h1-1"/>
    <w:p>
      <w:pPr>
        <w:pStyle w:val="Heading1"/>
      </w:pPr>
      <w:r>
        <w:t xml:space="preserve">H1</w:t>
      </w:r>
    </w:p>
    <w:bookmarkStart w:id="28" w:name="h2-1"/>
    <w:p>
      <w:pPr>
        <w:pStyle w:val="Heading2"/>
      </w:pPr>
      <w:r>
        <w:t xml:space="preserve">H2</w:t>
      </w:r>
    </w:p>
    <w:bookmarkStart w:id="27" w:name="h3-1"/>
    <w:p>
      <w:pPr>
        <w:pStyle w:val="Heading3"/>
      </w:pPr>
      <w:r>
        <w:t xml:space="preserve">H3</w:t>
      </w:r>
    </w:p>
    <w:bookmarkStart w:id="26" w:name="h4-1"/>
    <w:p>
      <w:pPr>
        <w:pStyle w:val="Heading4"/>
      </w:pPr>
      <w:r>
        <w:t xml:space="preserve">H4</w:t>
      </w:r>
    </w:p>
    <w:p>
      <w:pPr>
        <w:pStyle w:val="FirstParagraph"/>
      </w:pPr>
      <w:r>
        <w:rPr>
          <w:b/>
          <w:bCs/>
        </w:rPr>
        <w:t xml:space="preserve">bold text</w:t>
      </w:r>
    </w:p>
    <w:p>
      <w:pPr>
        <w:pStyle w:val="BodyText"/>
      </w:pPr>
      <w:r>
        <w:rPr>
          <w:i/>
          <w:iCs/>
        </w:rPr>
        <w:t xml:space="preserve">italicized text</w:t>
      </w:r>
    </w:p>
    <w:p>
      <w:pPr>
        <w:pStyle w:val="BodyText"/>
      </w:pPr>
      <w:r>
        <w:t xml:space="preserve">Numbered list</w:t>
      </w:r>
    </w:p>
    <w:p>
      <w:pPr>
        <w:pStyle w:val="Compact"/>
        <w:numPr>
          <w:ilvl w:val="0"/>
          <w:numId w:val="1003"/>
        </w:numPr>
      </w:pPr>
      <w:r>
        <w:t xml:space="preserve">First item</w:t>
      </w:r>
    </w:p>
    <w:p>
      <w:pPr>
        <w:pStyle w:val="Compact"/>
        <w:numPr>
          <w:ilvl w:val="0"/>
          <w:numId w:val="1003"/>
        </w:numPr>
      </w:pPr>
      <w:r>
        <w:t xml:space="preserve">Second item</w:t>
      </w:r>
    </w:p>
    <w:p>
      <w:pPr>
        <w:pStyle w:val="Compact"/>
        <w:numPr>
          <w:ilvl w:val="0"/>
          <w:numId w:val="1003"/>
        </w:numPr>
      </w:pPr>
      <w:r>
        <w:t xml:space="preserve">Third item</w:t>
      </w:r>
    </w:p>
    <w:p>
      <w:pPr>
        <w:pStyle w:val="FirstParagraph"/>
      </w:pPr>
      <w:r>
        <w:t xml:space="preserve">Bulleted list</w:t>
      </w:r>
    </w:p>
    <w:p>
      <w:pPr>
        <w:pStyle w:val="Compact"/>
        <w:numPr>
          <w:ilvl w:val="0"/>
          <w:numId w:val="1004"/>
        </w:numPr>
      </w:pPr>
      <w:r>
        <w:t xml:space="preserve">First item</w:t>
      </w:r>
    </w:p>
    <w:p>
      <w:pPr>
        <w:pStyle w:val="Compact"/>
        <w:numPr>
          <w:ilvl w:val="0"/>
          <w:numId w:val="1004"/>
        </w:numPr>
      </w:pPr>
      <w:r>
        <w:t xml:space="preserve">Second item</w:t>
      </w:r>
    </w:p>
    <w:p>
      <w:pPr>
        <w:pStyle w:val="Compact"/>
        <w:numPr>
          <w:ilvl w:val="0"/>
          <w:numId w:val="1004"/>
        </w:numPr>
      </w:pPr>
      <w:r>
        <w:t xml:space="preserve">Third item</w:t>
      </w:r>
    </w:p>
    <w:p>
      <w:pPr>
        <w:pStyle w:val="FirstParagraph"/>
      </w:pPr>
      <w:r>
        <w:t xml:space="preserve">Here is some 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Markdown Guide</w:t>
        </w:r>
      </w:hyperlink>
    </w:p>
    <w:p>
      <w:pPr>
        <w:pStyle w:val="BodyText"/>
      </w:pPr>
      <w:hyperlink r:id="rId21">
        <w:r>
          <w:rPr>
            <w:rStyle w:val="VerbatimChar"/>
          </w:rPr>
          <w:t xml:space="preserve">{nhsbsaShinyR}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8f5902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b/>
      <w:color w:val="ce5c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b/>
      <w:color w:val="204a87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rPr>
      <w:color w:val="204a87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b/>
      <w:color w:val="a40000"/>
      <w:shd w:fill="f8f8f8" w:val="clear"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1" Type="http://schemas.openxmlformats.org/officeDocument/2006/relationships/hyperlink" Target="https://github.com/nhsbsa-data-analytics/nhsbsaShinyR" TargetMode="External"/>
<Relationship Id="rId20" Type="http://schemas.openxmlformats.org/officeDocument/2006/relationships/hyperlink" Target="https://www.markdownguide.org" TargetMode="External"/>
</Relationships>

</file>

<file path=word/_rels/footnotes.xml.rels><?xml version="1.0" encoding="UTF-8" standalone="yes"?>

<Relationships  xmlns="http://schemas.openxmlformats.org/package/2006/relationships">
<Relationship Id="rId21" Type="http://schemas.openxmlformats.org/officeDocument/2006/relationships/hyperlink" Target="https://github.com/nhsbsa-data-analytics/nhsbsaShinyR" TargetMode="External"/>
<Relationship Id="rId20" Type="http://schemas.openxmlformats.org/officeDocument/2006/relationships/hyperlink" Target="https://www.markdownguide.org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2025-07-28T10:31:06Z</dcterms:created>
  <dcterms:modified xsi:type="dcterms:W3CDTF">2025-07-28T11:31:06Z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