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E0C" w:rsidRPr="00511758" w:rsidRDefault="00511758">
      <w:pPr>
        <w:rPr>
          <w:sz w:val="32"/>
          <w:szCs w:val="32"/>
          <w:lang w:val="en-GB"/>
        </w:rPr>
      </w:pPr>
      <w:r w:rsidRPr="00511758">
        <w:rPr>
          <w:sz w:val="32"/>
          <w:szCs w:val="32"/>
          <w:lang w:val="en-GB"/>
        </w:rPr>
        <w:t>Message Test Harness</w:t>
      </w:r>
      <w:r w:rsidR="0083082D" w:rsidRPr="0083082D">
        <w:rPr>
          <w:sz w:val="32"/>
          <w:szCs w:val="32"/>
          <w:lang w:val="en-GB"/>
        </w:rPr>
        <w:t xml:space="preserve"> </w:t>
      </w:r>
      <w:r w:rsidR="003B2E67">
        <w:rPr>
          <w:sz w:val="32"/>
          <w:szCs w:val="32"/>
          <w:lang w:val="en-GB"/>
        </w:rPr>
        <w:t>SCR GP Summary</w:t>
      </w:r>
      <w:r w:rsidR="0083082D">
        <w:rPr>
          <w:sz w:val="32"/>
          <w:szCs w:val="32"/>
          <w:lang w:val="en-GB"/>
        </w:rPr>
        <w:t xml:space="preserve"> S</w:t>
      </w:r>
      <w:r w:rsidR="0083082D" w:rsidRPr="00511758">
        <w:rPr>
          <w:sz w:val="32"/>
          <w:szCs w:val="32"/>
          <w:lang w:val="en-GB"/>
        </w:rPr>
        <w:t>cenarios</w:t>
      </w:r>
      <w:r w:rsidRPr="00511758">
        <w:rPr>
          <w:sz w:val="32"/>
          <w:szCs w:val="32"/>
          <w:lang w:val="en-GB"/>
        </w:rPr>
        <w:t xml:space="preserve"> Guide</w:t>
      </w:r>
    </w:p>
    <w:p w:rsidR="00511758" w:rsidRDefault="00511758">
      <w:pPr>
        <w:rPr>
          <w:lang w:val="en-GB"/>
        </w:rPr>
      </w:pPr>
    </w:p>
    <w:p w:rsidR="00C1286B" w:rsidRDefault="00C1286B">
      <w:pPr>
        <w:rPr>
          <w:lang w:val="en-GB"/>
        </w:rPr>
      </w:pPr>
    </w:p>
    <w:p w:rsidR="00C1286B" w:rsidRPr="00511758" w:rsidRDefault="00511758" w:rsidP="00C1286B">
      <w:pPr>
        <w:rPr>
          <w:b/>
          <w:lang w:val="en-GB"/>
        </w:rPr>
      </w:pPr>
      <w:r>
        <w:rPr>
          <w:b/>
          <w:lang w:val="en-GB"/>
        </w:rPr>
        <w:t>Background</w:t>
      </w:r>
    </w:p>
    <w:p w:rsidR="00C1286B" w:rsidRDefault="00C1286B" w:rsidP="00C1286B">
      <w:pPr>
        <w:rPr>
          <w:lang w:val="en-GB"/>
        </w:rPr>
      </w:pPr>
      <w:r>
        <w:rPr>
          <w:lang w:val="en-GB"/>
        </w:rPr>
        <w:t>The exception scenarios are executed using Message Test Harness tool which is used to simulate Spine. It programmatically responds to a supplier’s systems messaging with a predefined message based on incoming parameters. It is typically used to demonstrate/test a systems’ response to error conditions which cannot be recreated in an environment, because other users would be adversely affected.</w:t>
      </w:r>
    </w:p>
    <w:p w:rsidR="00C1286B" w:rsidRDefault="00C1286B" w:rsidP="00C1286B">
      <w:pPr>
        <w:rPr>
          <w:lang w:val="en-GB"/>
        </w:rPr>
      </w:pPr>
    </w:p>
    <w:p w:rsidR="00C1286B" w:rsidRPr="00511758" w:rsidRDefault="00511758" w:rsidP="00C1286B">
      <w:pPr>
        <w:rPr>
          <w:b/>
          <w:lang w:val="en-GB"/>
        </w:rPr>
      </w:pPr>
      <w:r w:rsidRPr="00511758">
        <w:rPr>
          <w:b/>
          <w:lang w:val="en-GB"/>
        </w:rPr>
        <w:t>Overview</w:t>
      </w:r>
    </w:p>
    <w:p w:rsidR="00C1286B" w:rsidRDefault="00C1286B" w:rsidP="00C1286B">
      <w:pPr>
        <w:rPr>
          <w:lang w:val="en-GB"/>
        </w:rPr>
      </w:pPr>
      <w:r>
        <w:rPr>
          <w:lang w:val="en-GB"/>
        </w:rPr>
        <w:t xml:space="preserve">In general, </w:t>
      </w:r>
      <w:r w:rsidR="007C2D3B">
        <w:rPr>
          <w:lang w:val="en-GB"/>
        </w:rPr>
        <w:t xml:space="preserve">messaging interaction with the </w:t>
      </w:r>
      <w:r>
        <w:rPr>
          <w:lang w:val="en-GB"/>
        </w:rPr>
        <w:t xml:space="preserve">spine is used to “prepare” the </w:t>
      </w:r>
      <w:r w:rsidR="003B2E67">
        <w:rPr>
          <w:lang w:val="en-GB"/>
        </w:rPr>
        <w:t>GP system for sending a GP Summary which will result in a negative response (dependent on the scenario)</w:t>
      </w:r>
      <w:r>
        <w:rPr>
          <w:lang w:val="en-GB"/>
        </w:rPr>
        <w:t xml:space="preserve">. This means that </w:t>
      </w:r>
      <w:r w:rsidR="003B2E67">
        <w:rPr>
          <w:lang w:val="en-GB"/>
        </w:rPr>
        <w:t>some/</w:t>
      </w:r>
      <w:r>
        <w:rPr>
          <w:lang w:val="en-GB"/>
        </w:rPr>
        <w:t xml:space="preserve">all interactions </w:t>
      </w:r>
      <w:r w:rsidR="00511758">
        <w:rPr>
          <w:lang w:val="en-GB"/>
        </w:rPr>
        <w:t xml:space="preserve">(other than </w:t>
      </w:r>
      <w:r>
        <w:rPr>
          <w:lang w:val="en-GB"/>
        </w:rPr>
        <w:t xml:space="preserve">the transaction which </w:t>
      </w:r>
      <w:r w:rsidR="00511758">
        <w:rPr>
          <w:lang w:val="en-GB"/>
        </w:rPr>
        <w:t xml:space="preserve">directly </w:t>
      </w:r>
      <w:r>
        <w:rPr>
          <w:lang w:val="en-GB"/>
        </w:rPr>
        <w:t>results in an exceptional response and the exceptional response itself</w:t>
      </w:r>
      <w:r w:rsidR="00511758">
        <w:rPr>
          <w:lang w:val="en-GB"/>
        </w:rPr>
        <w:t>)</w:t>
      </w:r>
      <w:r>
        <w:rPr>
          <w:lang w:val="en-GB"/>
        </w:rPr>
        <w:t xml:space="preserve"> </w:t>
      </w:r>
      <w:r w:rsidR="007C2D3B">
        <w:rPr>
          <w:lang w:val="en-GB"/>
        </w:rPr>
        <w:t>will</w:t>
      </w:r>
      <w:r w:rsidR="003B2E67">
        <w:rPr>
          <w:lang w:val="en-GB"/>
        </w:rPr>
        <w:t xml:space="preserve"> </w:t>
      </w:r>
      <w:r>
        <w:rPr>
          <w:lang w:val="en-GB"/>
        </w:rPr>
        <w:t>use the nat</w:t>
      </w:r>
      <w:r w:rsidR="003B2E67">
        <w:rPr>
          <w:lang w:val="en-GB"/>
        </w:rPr>
        <w:t>ional sandpit connection. T</w:t>
      </w:r>
      <w:r>
        <w:rPr>
          <w:lang w:val="en-GB"/>
        </w:rPr>
        <w:t>he message which directly results</w:t>
      </w:r>
      <w:r w:rsidR="003B2E67">
        <w:rPr>
          <w:lang w:val="en-GB"/>
        </w:rPr>
        <w:t xml:space="preserve"> in the failure is sent to MTH </w:t>
      </w:r>
      <w:r w:rsidR="007C2D3B">
        <w:rPr>
          <w:lang w:val="en-GB"/>
        </w:rPr>
        <w:t>-</w:t>
      </w:r>
      <w:r w:rsidR="003B2E67">
        <w:rPr>
          <w:lang w:val="en-GB"/>
        </w:rPr>
        <w:t xml:space="preserve"> other messages may be configured to be sent to the National Sandpit Environment. </w:t>
      </w:r>
      <w:r w:rsidR="007C2D3B">
        <w:rPr>
          <w:lang w:val="en-GB"/>
        </w:rPr>
        <w:t xml:space="preserve">PDS interactions MUST be directed to </w:t>
      </w:r>
      <w:proofErr w:type="gramStart"/>
      <w:r w:rsidR="007C2D3B">
        <w:rPr>
          <w:lang w:val="en-GB"/>
        </w:rPr>
        <w:t>Spine,</w:t>
      </w:r>
      <w:proofErr w:type="gramEnd"/>
      <w:r w:rsidR="007C2D3B">
        <w:rPr>
          <w:lang w:val="en-GB"/>
        </w:rPr>
        <w:t xml:space="preserve"> however t</w:t>
      </w:r>
      <w:r w:rsidR="003B2E67">
        <w:rPr>
          <w:lang w:val="en-GB"/>
        </w:rPr>
        <w:t>he MTH will respond correctly to ACS and parent prescription messages a</w:t>
      </w:r>
      <w:r w:rsidR="007C2D3B">
        <w:rPr>
          <w:lang w:val="en-GB"/>
        </w:rPr>
        <w:t>s defined in the scenarios.</w:t>
      </w:r>
    </w:p>
    <w:p w:rsidR="00511758" w:rsidRDefault="00511758" w:rsidP="00C1286B">
      <w:pPr>
        <w:rPr>
          <w:lang w:val="en-GB"/>
        </w:rPr>
      </w:pPr>
    </w:p>
    <w:p w:rsidR="00511758" w:rsidRPr="00511758" w:rsidRDefault="00511758" w:rsidP="00C1286B">
      <w:pPr>
        <w:rPr>
          <w:b/>
          <w:lang w:val="en-GB"/>
        </w:rPr>
      </w:pPr>
      <w:r w:rsidRPr="00511758">
        <w:rPr>
          <w:b/>
          <w:lang w:val="en-GB"/>
        </w:rPr>
        <w:t>Supplier MHS Requirement</w:t>
      </w:r>
    </w:p>
    <w:p w:rsidR="00C1286B" w:rsidRDefault="00C1286B" w:rsidP="00C1286B">
      <w:pPr>
        <w:rPr>
          <w:lang w:val="en-GB"/>
        </w:rPr>
      </w:pPr>
      <w:r>
        <w:rPr>
          <w:lang w:val="en-GB"/>
        </w:rPr>
        <w:t>This requires that one of two procedures can be performed</w:t>
      </w:r>
      <w:r w:rsidR="00511758">
        <w:rPr>
          <w:lang w:val="en-GB"/>
        </w:rPr>
        <w:t xml:space="preserve"> on the Local System</w:t>
      </w:r>
      <w:r>
        <w:rPr>
          <w:lang w:val="en-GB"/>
        </w:rPr>
        <w:t>:</w:t>
      </w:r>
    </w:p>
    <w:p w:rsidR="00C1286B" w:rsidRDefault="00C1286B" w:rsidP="00C128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Pr="00C1286B">
        <w:rPr>
          <w:lang w:val="en-GB"/>
        </w:rPr>
        <w:t>uppliers can configure their message handling systems to selectively direct their outgoing messaging dependent on the message type.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e.g</w:t>
      </w:r>
      <w:proofErr w:type="gramEnd"/>
      <w:r>
        <w:rPr>
          <w:lang w:val="en-GB"/>
        </w:rPr>
        <w:t>. P</w:t>
      </w:r>
      <w:r w:rsidR="003B2E67">
        <w:rPr>
          <w:lang w:val="en-GB"/>
        </w:rPr>
        <w:t>DS messages</w:t>
      </w:r>
      <w:r>
        <w:rPr>
          <w:lang w:val="en-GB"/>
        </w:rPr>
        <w:t xml:space="preserve"> are directed to Spine, but </w:t>
      </w:r>
      <w:r w:rsidR="003B2E67">
        <w:rPr>
          <w:lang w:val="en-GB"/>
        </w:rPr>
        <w:t>GP Summary messages</w:t>
      </w:r>
      <w:r>
        <w:rPr>
          <w:lang w:val="en-GB"/>
        </w:rPr>
        <w:t xml:space="preserve"> are directed to MTH</w:t>
      </w:r>
      <w:r w:rsidR="00524443">
        <w:rPr>
          <w:lang w:val="en-GB"/>
        </w:rPr>
        <w:t>. GET_RESOURCE_PERMISSIONs and Parent Prescription messages may be directed to spine or MTH as MTH will always respond positively to either.</w:t>
      </w:r>
    </w:p>
    <w:p w:rsidR="00C1286B" w:rsidRPr="00C1286B" w:rsidRDefault="00C1286B" w:rsidP="00C128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Suppliers can switch the destination of their message handling systems part way through a transactional sequence e.g. a spine connected system requests and receives </w:t>
      </w:r>
      <w:r w:rsidR="003B2E67">
        <w:rPr>
          <w:lang w:val="en-GB"/>
        </w:rPr>
        <w:t>PDS interactions</w:t>
      </w:r>
      <w:r>
        <w:rPr>
          <w:lang w:val="en-GB"/>
        </w:rPr>
        <w:t xml:space="preserve"> from spine. The MHS destination is then changed to MTH subsequent messaging (e.g. </w:t>
      </w:r>
      <w:r w:rsidR="003B2E67">
        <w:rPr>
          <w:lang w:val="en-GB"/>
        </w:rPr>
        <w:t>GP Summary</w:t>
      </w:r>
      <w:r>
        <w:rPr>
          <w:lang w:val="en-GB"/>
        </w:rPr>
        <w:t xml:space="preserve">) is directed there. </w:t>
      </w:r>
    </w:p>
    <w:p w:rsidR="00C1286B" w:rsidRDefault="00C1286B" w:rsidP="00C1286B">
      <w:pPr>
        <w:rPr>
          <w:lang w:val="en-GB"/>
        </w:rPr>
      </w:pPr>
    </w:p>
    <w:p w:rsidR="003B2E67" w:rsidRPr="003B2E67" w:rsidRDefault="003B2E67" w:rsidP="00C1286B">
      <w:pPr>
        <w:rPr>
          <w:b/>
          <w:lang w:val="en-GB"/>
        </w:rPr>
      </w:pPr>
      <w:r w:rsidRPr="003B2E67">
        <w:rPr>
          <w:b/>
          <w:lang w:val="en-GB"/>
        </w:rPr>
        <w:t>Preparation of the SCR GP Summary MTH Ruleset</w:t>
      </w:r>
    </w:p>
    <w:p w:rsidR="003B2E67" w:rsidRPr="003B2E67" w:rsidRDefault="003B2E67" w:rsidP="003B2E67">
      <w:pPr>
        <w:rPr>
          <w:lang w:val="en-GB"/>
        </w:rPr>
      </w:pPr>
      <w:r w:rsidRPr="003B2E67">
        <w:rPr>
          <w:lang w:val="en-GB"/>
        </w:rPr>
        <w:t>Before the SCR GP Summary Message Test Harness tool can be used, the ruleset (</w:t>
      </w:r>
      <w:r w:rsidR="00044E22" w:rsidRPr="00044E22">
        <w:rPr>
          <w:lang w:val="en-GB"/>
        </w:rPr>
        <w:t>SCR_GP_Summary_Ruleset.txt</w:t>
      </w:r>
      <w:r w:rsidRPr="003B2E67">
        <w:rPr>
          <w:lang w:val="en-GB"/>
        </w:rPr>
        <w:t xml:space="preserve">) MUST be updated. Update this ruleset with UNIQUE NHS Numbers – </w:t>
      </w:r>
      <w:r w:rsidR="007C2D3B">
        <w:rPr>
          <w:lang w:val="en-GB"/>
        </w:rPr>
        <w:t xml:space="preserve">i.e. </w:t>
      </w:r>
      <w:r w:rsidRPr="003B2E67">
        <w:rPr>
          <w:lang w:val="en-GB"/>
        </w:rPr>
        <w:t>the 3 NHS Number</w:t>
      </w:r>
      <w:r w:rsidR="007C2D3B">
        <w:rPr>
          <w:lang w:val="en-GB"/>
        </w:rPr>
        <w:t>s</w:t>
      </w:r>
      <w:r w:rsidRPr="003B2E67">
        <w:rPr>
          <w:lang w:val="en-GB"/>
        </w:rPr>
        <w:t xml:space="preserve"> inserted MUST be for different patients.</w:t>
      </w:r>
    </w:p>
    <w:p w:rsidR="003B2E67" w:rsidRPr="003B2E67" w:rsidRDefault="003B2E67" w:rsidP="003B2E67">
      <w:pPr>
        <w:rPr>
          <w:lang w:val="en-GB"/>
        </w:rPr>
      </w:pPr>
      <w:r w:rsidRPr="003B2E67">
        <w:rPr>
          <w:lang w:val="en-GB"/>
        </w:rPr>
        <w:t>1.</w:t>
      </w:r>
      <w:r w:rsidRPr="003B2E67">
        <w:rPr>
          <w:lang w:val="en-GB"/>
        </w:rPr>
        <w:tab/>
        <w:t>Replace the string “__INSERT_GP_SUMMARY_NHS_NUMBER_01_HERE__” with an NHS for any patient within your data pack NOT used in any other MTH scenario. This patient will be used</w:t>
      </w:r>
      <w:r w:rsidR="007C2D3B">
        <w:rPr>
          <w:lang w:val="en-GB"/>
        </w:rPr>
        <w:t xml:space="preserve"> in the Compliance scenario “</w:t>
      </w:r>
      <w:r w:rsidRPr="003B2E67">
        <w:rPr>
          <w:lang w:val="en-GB"/>
        </w:rPr>
        <w:t>PSIS Message Rej</w:t>
      </w:r>
      <w:r w:rsidR="007C2D3B">
        <w:rPr>
          <w:lang w:val="en-GB"/>
        </w:rPr>
        <w:t>ections and Error Situations&gt;</w:t>
      </w:r>
      <w:r w:rsidRPr="003B2E67">
        <w:rPr>
          <w:lang w:val="en-GB"/>
        </w:rPr>
        <w:t xml:space="preserve">PSIS Update Message </w:t>
      </w:r>
      <w:proofErr w:type="spellStart"/>
      <w:r w:rsidRPr="003B2E67">
        <w:rPr>
          <w:lang w:val="en-GB"/>
        </w:rPr>
        <w:t>Re</w:t>
      </w:r>
      <w:r w:rsidR="00D20AFE">
        <w:rPr>
          <w:lang w:val="en-GB"/>
        </w:rPr>
        <w:t>jection_MTH_ALTERNATIVE</w:t>
      </w:r>
      <w:proofErr w:type="spellEnd"/>
      <w:r w:rsidRPr="003B2E67">
        <w:rPr>
          <w:lang w:val="en-GB"/>
        </w:rPr>
        <w:t>”</w:t>
      </w:r>
      <w:r w:rsidR="00D20AFE">
        <w:rPr>
          <w:lang w:val="en-GB"/>
        </w:rPr>
        <w:t xml:space="preserve"> where the expected result is a negative MCCI with error code 420</w:t>
      </w:r>
    </w:p>
    <w:p w:rsidR="003B2E67" w:rsidRPr="003B2E67" w:rsidRDefault="003B2E67" w:rsidP="003B2E67">
      <w:pPr>
        <w:rPr>
          <w:lang w:val="en-GB"/>
        </w:rPr>
      </w:pPr>
      <w:r w:rsidRPr="003B2E67">
        <w:rPr>
          <w:lang w:val="en-GB"/>
        </w:rPr>
        <w:t>2.</w:t>
      </w:r>
      <w:r w:rsidRPr="003B2E67">
        <w:rPr>
          <w:lang w:val="en-GB"/>
        </w:rPr>
        <w:tab/>
        <w:t>Replace the string “__INSERT_GP_SUMMARY_NHS_NUMBER_02_HERE__” with an NHS for any patient within your data pack NOT used in any other MTH scenario. This patient will be used</w:t>
      </w:r>
      <w:r w:rsidR="007C2D3B">
        <w:rPr>
          <w:lang w:val="en-GB"/>
        </w:rPr>
        <w:t xml:space="preserve"> in the Compliance scenario “</w:t>
      </w:r>
      <w:r w:rsidRPr="003B2E67">
        <w:rPr>
          <w:lang w:val="en-GB"/>
        </w:rPr>
        <w:t>PSIS Message Rej</w:t>
      </w:r>
      <w:r w:rsidR="007C2D3B">
        <w:rPr>
          <w:lang w:val="en-GB"/>
        </w:rPr>
        <w:t>ections and Error Situations&gt;</w:t>
      </w:r>
      <w:r w:rsidRPr="003B2E67">
        <w:rPr>
          <w:lang w:val="en-GB"/>
        </w:rPr>
        <w:t xml:space="preserve">PSIS Update Message </w:t>
      </w:r>
      <w:proofErr w:type="spellStart"/>
      <w:r w:rsidRPr="003B2E67">
        <w:rPr>
          <w:lang w:val="en-GB"/>
        </w:rPr>
        <w:t>Rejection_MTH_ALTERNATIVE</w:t>
      </w:r>
      <w:proofErr w:type="spellEnd"/>
      <w:r w:rsidRPr="003B2E67">
        <w:rPr>
          <w:lang w:val="en-GB"/>
        </w:rPr>
        <w:t>”</w:t>
      </w:r>
      <w:r w:rsidR="00D20AFE" w:rsidRPr="00D20AFE">
        <w:rPr>
          <w:lang w:val="en-GB"/>
        </w:rPr>
        <w:t xml:space="preserve"> </w:t>
      </w:r>
      <w:r w:rsidR="00D20AFE">
        <w:rPr>
          <w:lang w:val="en-GB"/>
        </w:rPr>
        <w:t>where the expected result is a negative MCCI with error code 420</w:t>
      </w:r>
    </w:p>
    <w:p w:rsidR="003B2E67" w:rsidRPr="003B2E67" w:rsidRDefault="003B2E67" w:rsidP="003B2E67">
      <w:pPr>
        <w:rPr>
          <w:lang w:val="en-GB"/>
        </w:rPr>
      </w:pPr>
      <w:r w:rsidRPr="003B2E67">
        <w:rPr>
          <w:lang w:val="en-GB"/>
        </w:rPr>
        <w:lastRenderedPageBreak/>
        <w:t>3.</w:t>
      </w:r>
      <w:r w:rsidRPr="003B2E67">
        <w:rPr>
          <w:lang w:val="en-GB"/>
        </w:rPr>
        <w:tab/>
        <w:t>Replace the string “__INSERT_GP_SUMMARY_NHS_NUMBER_03_HERE__” with an NHS for any patient within your data pack NOT used in any other MTH scenario. This patient will be used</w:t>
      </w:r>
      <w:r w:rsidR="007C2D3B">
        <w:rPr>
          <w:lang w:val="en-GB"/>
        </w:rPr>
        <w:t xml:space="preserve"> in the Compliance scenario “</w:t>
      </w:r>
      <w:r w:rsidRPr="003B2E67">
        <w:rPr>
          <w:lang w:val="en-GB"/>
        </w:rPr>
        <w:t>PSIS Message Reje</w:t>
      </w:r>
      <w:r w:rsidR="007C2D3B">
        <w:rPr>
          <w:lang w:val="en-GB"/>
        </w:rPr>
        <w:t>ctions and Error Situations&gt;</w:t>
      </w:r>
      <w:r w:rsidRPr="003B2E67">
        <w:rPr>
          <w:lang w:val="en-GB"/>
        </w:rPr>
        <w:t xml:space="preserve">Acknowledgement from SPINE PSIS not received for the previous GP Summary </w:t>
      </w:r>
      <w:proofErr w:type="spellStart"/>
      <w:r w:rsidRPr="003B2E67">
        <w:rPr>
          <w:lang w:val="en-GB"/>
        </w:rPr>
        <w:t>Update_MTH_ALTERNATIVE</w:t>
      </w:r>
      <w:proofErr w:type="spellEnd"/>
      <w:r w:rsidRPr="003B2E67">
        <w:rPr>
          <w:lang w:val="en-GB"/>
        </w:rPr>
        <w:t>”</w:t>
      </w:r>
    </w:p>
    <w:p w:rsidR="003B2E67" w:rsidRPr="003B2E67" w:rsidRDefault="003B2E67" w:rsidP="003B2E67">
      <w:pPr>
        <w:rPr>
          <w:lang w:val="en-GB"/>
        </w:rPr>
      </w:pPr>
    </w:p>
    <w:p w:rsidR="003B2E67" w:rsidRPr="003B2E67" w:rsidRDefault="003B2E67" w:rsidP="003B2E67">
      <w:pPr>
        <w:rPr>
          <w:lang w:val="en-GB"/>
        </w:rPr>
      </w:pPr>
      <w:r w:rsidRPr="003B2E67">
        <w:rPr>
          <w:lang w:val="en-GB"/>
        </w:rPr>
        <w:t>N.B. the example messages (within the folder “</w:t>
      </w:r>
      <w:r w:rsidR="00044E22" w:rsidRPr="00044E22">
        <w:rPr>
          <w:lang w:val="en-GB"/>
        </w:rPr>
        <w:t>SCR_GP_Summary_Example_Input_Msg</w:t>
      </w:r>
      <w:r w:rsidRPr="003B2E67">
        <w:rPr>
          <w:lang w:val="en-GB"/>
        </w:rPr>
        <w:t xml:space="preserve">”) use the literal replacement strings (“__INSERT_GP_SUMMARY_NHS_NUMBER_01_HERE__” etc.), so the original ruleset will need to be used with these or change the NHS Number element within each </w:t>
      </w:r>
      <w:r w:rsidR="007C2D3B">
        <w:rPr>
          <w:lang w:val="en-GB"/>
        </w:rPr>
        <w:t xml:space="preserve">example </w:t>
      </w:r>
      <w:r w:rsidRPr="003B2E67">
        <w:rPr>
          <w:lang w:val="en-GB"/>
        </w:rPr>
        <w:t>message to the correct replacement which has already been made in the ruleset.</w:t>
      </w:r>
    </w:p>
    <w:p w:rsidR="003B2E67" w:rsidRDefault="003B2E67" w:rsidP="003B2E67">
      <w:pPr>
        <w:rPr>
          <w:lang w:val="en-GB"/>
        </w:rPr>
      </w:pPr>
      <w:r w:rsidRPr="003B2E67">
        <w:rPr>
          <w:lang w:val="en-GB"/>
        </w:rPr>
        <w:t>The ACS message GET_RESOURCE_PERMISSIONS_INUK01 is always responded to positively returning "Consent" to "Everyone" and "Store" to "Everyone". The example GET_RESOURCE_PERMISSIONS_INUK01 messages have “__INSERT_GP_SUMMARY_NHS_NUMBER_01_HERE__” etc. within the NHS number fields which can be changed but the result of the interaction will be the same.</w:t>
      </w:r>
      <w:r w:rsidR="007C2D3B">
        <w:rPr>
          <w:lang w:val="en-GB"/>
        </w:rPr>
        <w:t xml:space="preserve"> This is not </w:t>
      </w:r>
      <w:proofErr w:type="spellStart"/>
      <w:r w:rsidR="007C2D3B">
        <w:rPr>
          <w:lang w:val="en-GB"/>
        </w:rPr>
        <w:t>stateful</w:t>
      </w:r>
      <w:proofErr w:type="spellEnd"/>
      <w:r w:rsidR="007C2D3B">
        <w:rPr>
          <w:lang w:val="en-GB"/>
        </w:rPr>
        <w:t xml:space="preserve"> and is a “dummy” response.</w:t>
      </w:r>
    </w:p>
    <w:p w:rsidR="003B2E67" w:rsidRDefault="003B2E67" w:rsidP="003B2E67">
      <w:pPr>
        <w:rPr>
          <w:lang w:val="en-GB"/>
        </w:rPr>
      </w:pPr>
      <w:r>
        <w:rPr>
          <w:lang w:val="en-GB"/>
        </w:rPr>
        <w:t xml:space="preserve">Any incoming ETP parent prescription is always synchronously </w:t>
      </w:r>
      <w:proofErr w:type="spellStart"/>
      <w:r>
        <w:rPr>
          <w:lang w:val="en-GB"/>
        </w:rPr>
        <w:t>ebXML</w:t>
      </w:r>
      <w:proofErr w:type="spellEnd"/>
      <w:r>
        <w:rPr>
          <w:lang w:val="en-GB"/>
        </w:rPr>
        <w:t xml:space="preserve"> acknowledged by MTH, mimicking how a parent prescription would be correctly accepted on spine.</w:t>
      </w:r>
      <w:r w:rsidR="007C2D3B">
        <w:rPr>
          <w:lang w:val="en-GB"/>
        </w:rPr>
        <w:t xml:space="preserve"> This is not </w:t>
      </w:r>
      <w:proofErr w:type="spellStart"/>
      <w:r w:rsidR="007C2D3B">
        <w:rPr>
          <w:lang w:val="en-GB"/>
        </w:rPr>
        <w:t>stateful</w:t>
      </w:r>
      <w:proofErr w:type="spellEnd"/>
      <w:r w:rsidR="007C2D3B">
        <w:rPr>
          <w:lang w:val="en-GB"/>
        </w:rPr>
        <w:t xml:space="preserve"> and is a “dummy” response.</w:t>
      </w:r>
    </w:p>
    <w:p w:rsidR="003B2E67" w:rsidRDefault="003B2E67" w:rsidP="003B2E67">
      <w:pPr>
        <w:rPr>
          <w:lang w:val="en-GB"/>
        </w:rPr>
      </w:pPr>
    </w:p>
    <w:p w:rsidR="003B2E67" w:rsidRDefault="003B2E67" w:rsidP="003B2E67">
      <w:pPr>
        <w:rPr>
          <w:lang w:val="en-GB"/>
        </w:rPr>
      </w:pPr>
    </w:p>
    <w:p w:rsidR="003B2E67" w:rsidRDefault="003B2E67" w:rsidP="003B2E67">
      <w:pPr>
        <w:rPr>
          <w:lang w:val="en-GB"/>
        </w:rPr>
      </w:pPr>
    </w:p>
    <w:p w:rsidR="003B2E67" w:rsidRDefault="003B2E67" w:rsidP="003B2E67">
      <w:pPr>
        <w:rPr>
          <w:lang w:val="en-GB"/>
        </w:rPr>
      </w:pPr>
    </w:p>
    <w:p w:rsidR="00C1286B" w:rsidRPr="00C1286B" w:rsidRDefault="00801240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33" editas="canvas" style="width:468.4pt;height:200.95pt;mso-position-horizontal-relative:char;mso-position-vertical-relative:line" coordorigin="2070,1051" coordsize="7206,30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070;top:1051;width:7206;height:308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490;top:1540;width:1948;height:190" stroked="f">
              <v:textbox style="mso-next-textbox:#_x0000_s1036" inset="0,0,0,0">
                <w:txbxContent>
                  <w:p w:rsidR="00524443" w:rsidRPr="00C1286B" w:rsidRDefault="00524443" w:rsidP="00C1286B">
                    <w:pPr>
                      <w:pStyle w:val="Caption"/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  <w:t xml:space="preserve">PDS messaging </w:t>
                    </w:r>
                    <w:bookmarkStart w:id="0" w:name="OLE_LINK1"/>
                    <w:bookmarkStart w:id="1" w:name="OLE_LINK2"/>
                    <w:r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  <w:t>(optionally ACS &amp; ETP)</w:t>
                    </w:r>
                    <w:bookmarkEnd w:id="0"/>
                    <w:bookmarkEnd w:id="1"/>
                  </w:p>
                  <w:p w:rsidR="00524443" w:rsidRPr="00C1286B" w:rsidRDefault="00524443" w:rsidP="00C1286B">
                    <w:pPr>
                      <w:rPr>
                        <w:lang w:val="en-GB"/>
                      </w:rPr>
                    </w:pPr>
                  </w:p>
                </w:txbxContent>
              </v:textbox>
            </v:shape>
            <v:shape id="_x0000_s1037" type="#_x0000_t202" style="position:absolute;left:2368;top:1489;width:1900;height:588" fillcolor="#00b0f0">
              <v:textbox style="mso-next-textbox:#_x0000_s1037">
                <w:txbxContent>
                  <w:p w:rsidR="00524443" w:rsidRPr="00C1286B" w:rsidRDefault="00524443" w:rsidP="00C1286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GP System</w:t>
                    </w:r>
                  </w:p>
                </w:txbxContent>
              </v:textbox>
            </v:shape>
            <v:shape id="_x0000_s1038" type="#_x0000_t202" style="position:absolute;left:6641;top:1489;width:1050;height:664" fillcolor="red">
              <v:textbox style="mso-next-textbox:#_x0000_s1038">
                <w:txbxContent>
                  <w:p w:rsidR="00524443" w:rsidRPr="00C1286B" w:rsidRDefault="00524443" w:rsidP="00C1286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Spine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4268;top:1768;width:2373;height:1" o:connectortype="straight">
              <v:stroke endarrow="block"/>
            </v:shape>
            <v:shape id="_x0000_s1040" type="#_x0000_t32" style="position:absolute;left:4268;top:1969;width:2373;height:2;flip:x" o:connectortype="straight">
              <v:stroke endarrow="block"/>
            </v:shape>
            <v:shape id="_x0000_s1041" type="#_x0000_t202" style="position:absolute;left:4490;top:2039;width:1948;height:191" stroked="f">
              <v:textbox style="mso-next-textbox:#_x0000_s1041" inset="0,0,0,0">
                <w:txbxContent>
                  <w:p w:rsidR="00524443" w:rsidRPr="00C1286B" w:rsidRDefault="00524443" w:rsidP="00C1286B">
                    <w:pPr>
                      <w:pStyle w:val="Caption"/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  <w:t>Spine Responses</w:t>
                    </w:r>
                  </w:p>
                  <w:p w:rsidR="00524443" w:rsidRPr="00C1286B" w:rsidRDefault="00524443" w:rsidP="00C1286B">
                    <w:pPr>
                      <w:pStyle w:val="Caption"/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</w:pPr>
                    <w:r w:rsidRPr="00C1286B"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  <w:t>Prescription Release Response</w:t>
                    </w:r>
                  </w:p>
                  <w:p w:rsidR="00524443" w:rsidRPr="00C1286B" w:rsidRDefault="00524443" w:rsidP="00C1286B">
                    <w:pPr>
                      <w:rPr>
                        <w:lang w:val="en-GB"/>
                      </w:rPr>
                    </w:pPr>
                  </w:p>
                </w:txbxContent>
              </v:textbox>
            </v:shape>
            <v:shape id="_x0000_s1042" type="#_x0000_t202" style="position:absolute;left:6678;top:3116;width:1050;height:606" fillcolor="#92d050">
              <v:textbox style="mso-next-textbox:#_x0000_s1042">
                <w:txbxContent>
                  <w:p w:rsidR="00524443" w:rsidRPr="00C1286B" w:rsidRDefault="00524443" w:rsidP="00C1286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MTH</w:t>
                    </w:r>
                  </w:p>
                </w:txbxContent>
              </v:textbox>
            </v:shape>
            <v:shape id="_x0000_s1043" type="#_x0000_t32" style="position:absolute;left:3318;top:2077;width:3360;height:1214" o:connectortype="straight">
              <v:stroke endarrow="block"/>
            </v:shape>
            <v:shape id="_x0000_s1044" type="#_x0000_t32" style="position:absolute;left:2816;top:2084;width:3862;height:1472;flip:x y" o:connectortype="straight">
              <v:stroke endarrow="block"/>
            </v:shape>
            <v:shape id="_x0000_s1047" type="#_x0000_t202" style="position:absolute;left:3166;top:2749;width:1362;height:486" stroked="f">
              <v:textbox style="mso-next-textbox:#_x0000_s1047" inset="0,0,0,0">
                <w:txbxContent>
                  <w:p w:rsidR="00524443" w:rsidRDefault="00524443" w:rsidP="00C1286B">
                    <w:pPr>
                      <w:pStyle w:val="Caption"/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  <w:t>-</w:t>
                    </w:r>
                    <w:proofErr w:type="spellStart"/>
                    <w:r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  <w:t>ve</w:t>
                    </w:r>
                    <w:proofErr w:type="spellEnd"/>
                    <w:r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  <w:t xml:space="preserve"> Application Acknowledgement or none</w:t>
                    </w:r>
                  </w:p>
                  <w:p w:rsidR="00524443" w:rsidRPr="00C1286B" w:rsidRDefault="00524443" w:rsidP="00C1286B">
                    <w:pPr>
                      <w:rPr>
                        <w:lang w:val="en-GB"/>
                      </w:rPr>
                    </w:pPr>
                  </w:p>
                  <w:p w:rsidR="00524443" w:rsidRPr="00C1286B" w:rsidRDefault="00524443" w:rsidP="00C1286B">
                    <w:pPr>
                      <w:rPr>
                        <w:lang w:val="en-GB"/>
                      </w:rPr>
                    </w:pPr>
                  </w:p>
                </w:txbxContent>
              </v:textbox>
            </v:shape>
            <v:shape id="_x0000_s1048" type="#_x0000_t202" style="position:absolute;left:5089;top:2542;width:2309;height:127" stroked="f">
              <v:textbox style="mso-next-textbox:#_x0000_s1048" inset="0,0,0,0">
                <w:txbxContent>
                  <w:p w:rsidR="00524443" w:rsidRPr="00C1286B" w:rsidRDefault="00524443" w:rsidP="00C1286B">
                    <w:pPr>
                      <w:pStyle w:val="Caption"/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 w:val="0"/>
                        <w:color w:val="auto"/>
                        <w:sz w:val="14"/>
                        <w:szCs w:val="16"/>
                        <w:lang w:val="en-GB"/>
                      </w:rPr>
                      <w:t>GP Summary (optionally ACS &amp; ETP)</w:t>
                    </w:r>
                  </w:p>
                  <w:p w:rsidR="00524443" w:rsidRPr="00C1286B" w:rsidRDefault="00524443" w:rsidP="00C1286B">
                    <w:pPr>
                      <w:rPr>
                        <w:lang w:val="en-GB"/>
                      </w:rPr>
                    </w:pPr>
                  </w:p>
                </w:txbxContent>
              </v:textbox>
            </v:shape>
            <v:shape id="_x0000_s1069" type="#_x0000_t202" style="position:absolute;left:2368;top:1226;width:2338;height:209" stroked="f">
              <v:textbox style="mso-next-textbox:#_x0000_s1069" inset="0,0,0,0">
                <w:txbxContent>
                  <w:p w:rsidR="00524443" w:rsidRPr="00C1286B" w:rsidRDefault="00524443" w:rsidP="00C1286B">
                    <w:pPr>
                      <w:pStyle w:val="Caption"/>
                      <w:rPr>
                        <w:color w:val="auto"/>
                        <w:sz w:val="24"/>
                        <w:szCs w:val="24"/>
                        <w:lang w:val="en-GB"/>
                      </w:rPr>
                    </w:pPr>
                    <w:r w:rsidRPr="00C1286B">
                      <w:rPr>
                        <w:color w:val="auto"/>
                        <w:lang w:val="en-GB"/>
                      </w:rPr>
                      <w:t>Configu</w:t>
                    </w:r>
                    <w:r>
                      <w:rPr>
                        <w:color w:val="auto"/>
                        <w:lang w:val="en-GB"/>
                      </w:rPr>
                      <w:t>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C1286B" w:rsidRPr="00C1286B" w:rsidSect="0086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B68"/>
    <w:multiLevelType w:val="hybridMultilevel"/>
    <w:tmpl w:val="8AFA0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F625F"/>
    <w:multiLevelType w:val="hybridMultilevel"/>
    <w:tmpl w:val="4C5E0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F12DB"/>
    <w:multiLevelType w:val="hybridMultilevel"/>
    <w:tmpl w:val="23664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D4DDD"/>
    <w:multiLevelType w:val="hybridMultilevel"/>
    <w:tmpl w:val="C3923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1228D"/>
    <w:multiLevelType w:val="hybridMultilevel"/>
    <w:tmpl w:val="8A28C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84EC8"/>
    <w:multiLevelType w:val="hybridMultilevel"/>
    <w:tmpl w:val="4C501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70DF9"/>
    <w:multiLevelType w:val="hybridMultilevel"/>
    <w:tmpl w:val="8E98E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D11F9"/>
    <w:multiLevelType w:val="hybridMultilevel"/>
    <w:tmpl w:val="D1EA7B3E"/>
    <w:lvl w:ilvl="0" w:tplc="E79E1B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632C"/>
    <w:multiLevelType w:val="hybridMultilevel"/>
    <w:tmpl w:val="D45EA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01CED"/>
    <w:multiLevelType w:val="hybridMultilevel"/>
    <w:tmpl w:val="A9745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042601"/>
    <w:multiLevelType w:val="hybridMultilevel"/>
    <w:tmpl w:val="3B9C59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21786"/>
    <w:multiLevelType w:val="hybridMultilevel"/>
    <w:tmpl w:val="35068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9A6916"/>
    <w:multiLevelType w:val="hybridMultilevel"/>
    <w:tmpl w:val="1E1A2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D3665B"/>
    <w:multiLevelType w:val="hybridMultilevel"/>
    <w:tmpl w:val="AD0C2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286B"/>
    <w:rsid w:val="0000305E"/>
    <w:rsid w:val="00044E22"/>
    <w:rsid w:val="00267BF4"/>
    <w:rsid w:val="00283ECA"/>
    <w:rsid w:val="002A47B5"/>
    <w:rsid w:val="002B7CEB"/>
    <w:rsid w:val="002E6E02"/>
    <w:rsid w:val="002F4BE4"/>
    <w:rsid w:val="00383CCC"/>
    <w:rsid w:val="003B2E67"/>
    <w:rsid w:val="00491456"/>
    <w:rsid w:val="00511758"/>
    <w:rsid w:val="0051218B"/>
    <w:rsid w:val="00524443"/>
    <w:rsid w:val="0064109E"/>
    <w:rsid w:val="00645BD1"/>
    <w:rsid w:val="00702FAD"/>
    <w:rsid w:val="00721A94"/>
    <w:rsid w:val="00770944"/>
    <w:rsid w:val="007A6E6B"/>
    <w:rsid w:val="007C2D3B"/>
    <w:rsid w:val="00801240"/>
    <w:rsid w:val="0083082D"/>
    <w:rsid w:val="00862E0C"/>
    <w:rsid w:val="00992244"/>
    <w:rsid w:val="009B2095"/>
    <w:rsid w:val="00AF2D35"/>
    <w:rsid w:val="00B51AE0"/>
    <w:rsid w:val="00B87659"/>
    <w:rsid w:val="00C1286B"/>
    <w:rsid w:val="00CE14B1"/>
    <w:rsid w:val="00CE5F7A"/>
    <w:rsid w:val="00CE77F8"/>
    <w:rsid w:val="00D20AFE"/>
    <w:rsid w:val="00DB41D6"/>
    <w:rsid w:val="00E531B9"/>
    <w:rsid w:val="00E53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39"/>
        <o:r id="V:Rule6" type="connector" idref="#_x0000_s1043"/>
        <o:r id="V:Rule7" type="connector" idref="#_x0000_s1044"/>
        <o:r id="V:Rule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286B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12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Connecting for Health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Richard</dc:creator>
  <cp:keywords/>
  <dc:description/>
  <cp:lastModifiedBy>Robinson Richard</cp:lastModifiedBy>
  <cp:revision>2</cp:revision>
  <dcterms:created xsi:type="dcterms:W3CDTF">2013-12-17T15:11:00Z</dcterms:created>
  <dcterms:modified xsi:type="dcterms:W3CDTF">2013-12-17T15:11:00Z</dcterms:modified>
</cp:coreProperties>
</file>