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bookmarkStart w:colFirst="0" w:colLast="0" w:name="_heading=h.6z3i2q5od8su" w:id="0"/>
      <w:bookmarkEnd w:id="0"/>
      <w:r w:rsidDel="00000000" w:rsidR="00000000" w:rsidRPr="00000000">
        <w:rPr>
          <w:rFonts w:ascii="Times New Roman" w:cs="Times New Roman" w:eastAsia="Times New Roman" w:hAnsi="Times New Roman"/>
          <w:b w:val="1"/>
          <w:bCs w:val="1"/>
          <w:sz w:val="26"/>
          <w:szCs w:val="26"/>
          <w:rtl w:val="0"/>
        </w:rPr>
        <w:t xml:space="preserve">HỢP ĐỒNG THƯƠNG MẠI MUA BÁN</w:t>
      </w:r>
    </w:p>
    <w:p w:rsidR="00000000" w:rsidDel="00000000" w:rsidP="00000000" w:rsidRDefault="00000000" w:rsidRPr="00000000" w14:paraId="00000002">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Số: 01/2026/HĐMB-ABC-GTS</w:t>
      </w:r>
    </w:p>
    <w:p w:rsidR="00000000" w:rsidDel="00000000" w:rsidP="00000000" w:rsidRDefault="00000000" w:rsidRPr="00000000" w14:paraId="00000003">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Ngày: 07 tháng 04 năm 2026</w:t>
      </w:r>
    </w:p>
    <w:p w:rsidR="00000000" w:rsidDel="00000000" w:rsidP="00000000" w:rsidRDefault="00000000" w:rsidRPr="00000000" w14:paraId="0000000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Hợp đồng này được lập và ký vào ngày 07 tháng 04 năm 2026. giữa:</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ty</w:t>
      </w:r>
      <w:r w:rsidDel="00000000" w:rsidR="00000000" w:rsidRPr="00000000">
        <w:rPr>
          <w:rFonts w:ascii="Times New Roman" w:cs="Times New Roman" w:eastAsia="Times New Roman" w:hAnsi="Times New Roman"/>
          <w:sz w:val="26"/>
          <w:szCs w:val="26"/>
          <w:rtl w:val="0"/>
        </w:rPr>
        <w:t xml:space="preserve"> Công ty TNHH Giao thương Quốc tế ABC (BÊN MUA).</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diện bởi Ông Nguyễn Văn A  Chức vụ Giám đốc</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Trụ sở: 123 Lê Lợi, Quận 1, TP. Hồ Chí Minh, Việt Nam</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số: </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Ngân hàng: Vietcombank</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0102030405</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ty</w:t>
      </w:r>
      <w:r w:rsidDel="00000000" w:rsidR="00000000" w:rsidRPr="00000000">
        <w:rPr>
          <w:rFonts w:ascii="Times New Roman" w:cs="Times New Roman" w:eastAsia="Times New Roman" w:hAnsi="Times New Roman"/>
          <w:sz w:val="26"/>
          <w:szCs w:val="26"/>
          <w:rtl w:val="0"/>
        </w:rPr>
        <w:t xml:space="preserve"> Công ty Global Tech Solutions Corp (BÊN BÁN).</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diện bởi Mr. John Smith Chức vụ Tổng Giám đốc</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Trụ sở: 456 Tech Park, Gangnam-gu, Seoul, Korea</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số: ABC1234</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Ngân hàng: Korea Exchange Bank</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1108112345</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BÊN BÁN trong phạm vi trách nhiệm cung cấp Máy may công nghiệp và các dịch vụ có liên quan.</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BÊN MUA muốn mua và BÊN Bán muốn bán những Hàng Cung Cấp và Dịch Vụ và hai bên muốn định nghĩa những cách thức và điều kiện mua bán của Hàng Cung Cấp và Dịch Vụ.</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sau đây, hai bên, dưới sự đồng ý song phương, cùng thỏa thuận với nhau những điều khoản sau:</w:t>
      </w:r>
    </w:p>
    <w:p w:rsidR="00000000" w:rsidDel="00000000" w:rsidP="00000000" w:rsidRDefault="00000000" w:rsidRPr="00000000" w14:paraId="0000001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Định nghĩa</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hợp đồng này, các khái niệm dưới đây sẽ được định nghĩa như sau, nếu không có các quy định khác:</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Liên Quan” được hiểu là sách hướng dẫn vận hành và các tài liệu in khác được liệt kê trong chỉ tiêu kỹ thuật bao gồm sách chỉ dẫn cho người sử dụng, sách chỉ dẫn lập trình, sách chỉ dẫn sửa đổi, bản vẽ, sơ đồ và bản kê phần mềm dùng để hỗ trợ hoặc bổ sung cho việc hiểu rõ hoặc ứng dụng phần mềm.</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Hợp Đồng” Là tổng giá trị Bên Mua phải trả cho Bên Bán hoàn tất nghĩa vụ trong hợp đồng của mình một cách đầy đủ và trọn vẹn, nhưng không bao gồm lãi suất phát sinh do thanh toán chậm (nếu có) và bất cứ hình thức tiền phạt nào.</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Giá” là bảng tổng kết giá và bảng giá chi tiết cho “Hàng cung cấp” theo hợp đồng và được định nghĩa dưới đây.</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Cung Cấp” bao gồm thiết bị, hàng hóa, vật tư hoặc phụ kiện hay linh kiện được Bên Bán cung cấp cho Bên Mua hoặc người được ủy quyền của Bên Mua theo hợp đồng.</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hàng Cung Cấp” là tổng giá trị của “Hàng Cung Cấp” ghi trong hợp đồng nhưng không bao gồm lãi suất phát sinh do thanh toán chậm (nếu có) và bất cứ hình thức tiền phạt hay khiếu nại nào.</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 Major Shipment” “Giao Hàng chủ yếu/chính Cuối Cùng” có nghĩa là 100% thiết bị chủ yếu/chính đã được giao.</w:t>
      </w:r>
    </w:p>
    <w:p w:rsidR="00000000" w:rsidDel="00000000" w:rsidP="00000000" w:rsidRDefault="00000000" w:rsidRPr="00000000" w14:paraId="000000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Phạm vi hợp đồng</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Trách nhiệm của Bên Bán</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Bán sẽ cung cấp và giao vật tư thiết bị bao gồm: 50 bộ Máy may công nghiệp Model GT-2000 như đã liệt kê ở</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vật tư Hợp Đồng này (Phụ lục 01) CIF Hải Phòng cảng theo INCOTERMS 2000.</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hàng: Máy may công nghiệp</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Nhà sản xuất: Global Tech Solutions Corp</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Nhà cung cấp: Global Tech Solutions Corp</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lượng và số chế tạo hàng hóa: 50 bộ (Chi tiết số máy/số series theo danh mục tại Phụ lục 01)</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Chất lượng: Mới 100%, sản xuất năm 2025/2026 (đáp ứng tiêu chuẩn kỹ thuật của nhà sản xuất)</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Xuất xứ nguồn gốc: Hàn Quốc (Korea)</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gói: Theo tiêu chuẩn xuất khẩu của nhà sản xuất, phù hợp cho vận chuyển đường biển quốc tế nhằm bảo đảm an toàn hàng hóa.</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cả: bộ</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hiệu: Model GT-2000</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Trách nhiệm của bên Mua:</w:t>
      </w:r>
    </w:p>
    <w:p w:rsidR="00000000" w:rsidDel="00000000" w:rsidP="00000000" w:rsidRDefault="00000000" w:rsidRPr="00000000" w14:paraId="0000002A">
      <w:pPr>
        <w:numPr>
          <w:ilvl w:val="0"/>
          <w:numId w:val="1"/>
        </w:numPr>
        <w:spacing w:after="0" w:afterAutospacing="0"/>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Thanh toán đầy đủ và đúng hạn giá trị hợp đồng theo quy định tại Điều 5.</w:t>
      </w:r>
    </w:p>
    <w:p w:rsidR="00000000" w:rsidDel="00000000" w:rsidP="00000000" w:rsidRDefault="00000000" w:rsidRPr="00000000" w14:paraId="0000002B">
      <w:pPr>
        <w:numPr>
          <w:ilvl w:val="0"/>
          <w:numId w:val="1"/>
        </w:numPr>
        <w:spacing w:after="0" w:afterAutospacing="0"/>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Mở Thư tín dụng (L/C) và thực hiện các thủ tục nhận hàng tại cảng đích (Hải Phòng).</w:t>
      </w:r>
    </w:p>
    <w:p w:rsidR="00000000" w:rsidDel="00000000" w:rsidP="00000000" w:rsidRDefault="00000000" w:rsidRPr="00000000" w14:paraId="0000002C">
      <w:pPr>
        <w:numPr>
          <w:ilvl w:val="0"/>
          <w:numId w:val="1"/>
        </w:numPr>
        <w:spacing w:after="0" w:afterAutospacing="0"/>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Chịu trách nhiệm làm thủ tục thông quan nhập khẩu và đóng các loại thuế, phí liên quan tại Việt Nam (nếu có).</w:t>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Cung cấp các tài liệu cần thiết để Bên Bán thực hiện việc giao hàng và các dịch vụ liên quan.</w:t>
      </w:r>
    </w:p>
    <w:p w:rsidR="00000000" w:rsidDel="00000000" w:rsidP="00000000" w:rsidRDefault="00000000" w:rsidRPr="00000000" w14:paraId="0000002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Giá trị hợp đồng</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 trị hợp đồng là: abc USD CIF Hải Phòng (Bằng chữ: Một trăm nghìn Đô la Mỹ), trong đó:</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(vật tư) thiết bị: 100.000 USD (bao gồm chi phí vận chuyển và bảo hiểm đến cảng Hải Phòng)</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dịch vụ: 0 USD (Đã bao gồm trong giá trị thiết bị)</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 trị của hợp đồng được áp dụng cho các chủng loại và số lượng vật tư/ thiết bị và dịch vụ được liệt kê trong bản tổng kết Giá ở phụ lục 01 và danh mục vật tư ở Phụ lục</w:t>
      </w:r>
    </w:p>
    <w:p w:rsidR="00000000" w:rsidDel="00000000" w:rsidP="00000000" w:rsidRDefault="00000000" w:rsidRPr="00000000" w14:paraId="00000033">
      <w:pPr>
        <w:numPr>
          <w:ilvl w:val="0"/>
          <w:numId w:val="2"/>
        </w:numPr>
        <w:spacing w:after="0" w:afterAutospacing="0"/>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Máy may công nghiệp Model GT-2000: 50 bộ.</w:t>
      </w:r>
    </w:p>
    <w:p w:rsidR="00000000" w:rsidDel="00000000" w:rsidP="00000000" w:rsidRDefault="00000000" w:rsidRPr="00000000" w14:paraId="00000034">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Phụ tùng và tài liệu kỹ thuật đi kèm: 50 bộ.</w:t>
      </w:r>
    </w:p>
    <w:p w:rsidR="00000000" w:rsidDel="00000000" w:rsidP="00000000" w:rsidRDefault="00000000" w:rsidRPr="00000000" w14:paraId="0000003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 Điều kiện giao hàng</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Cảng xếp hàng: Cảng Busan, Hàn Quốc ((Busan Port, Korea))</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Cảng đích: Cảng Hải Phòng, Việt Nam (Hai Phong Port, Vietnam)</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giao hàng: 60 ngày kể từ ngày bên bán nhận được L/C</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Giao hàng từng phần: Được phép</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tải: Không được phép</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báo trước khi giao hàng: Trong vòng ( ngày) trước ngày tàu rời Cảng xếp hàng theo dự kiến, Bên bán phải thông báo cho bên mua bằng Fax với nội dung sau: Số hợp đồng, số L/C, tên hàng, số lượng hàng, giá trị hàng, thời gian dự kiến tàu dời cảng.</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báo giao hàng: Trong vòng ( ) ngày làm việc tính từ khi tàu dời cảng (được hiểu là ngày ký phát vận đơn), Bên bán phải thông báo cho bên mua bằng Fax với nội dung sau: Số hợp đồng, số L/C, tên hàng, số lượng, số kiện, trọng lượng và kích thước từng kiện. Tổng trọng lượng, giá trị hóa đơn, Tên tàu, cơ và quốc tịch tàu, số vận đơn, thời gian dự kiến tàu tới đích.</w:t>
      </w:r>
    </w:p>
    <w:p w:rsidR="00000000" w:rsidDel="00000000" w:rsidP="00000000" w:rsidRDefault="00000000" w:rsidRPr="00000000" w14:paraId="0000003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 Phương thức thanh toán</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thanh toán cụ thể như sau:</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Thanh toán đặt cọc</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giá trị hợp đồng được thanh toán bằng một thư tín dụng trả ngay, không hủy ngang cho bên bán: Công ty Global Tech Solutions Corp.</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L/C bao gồm tổng giá trị của hợp đồng được mở trong vòng 7 ngày kể từ ngày bên Mua nhận được Bảo lãnh thực hiện hợp đồng được quy định tại điều trong hợp đồng này. L/C có hiệu lực và hết hiệu lực cao nhất là 90 ngày kể từ ngày phát hành.</w:t>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L/C thông báo qua ngân hàng: Korea Exchange Bank</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trình chứng từ trong thời gian chậm nhất 21 ngày kể từ ngày ký phát vận đơn.</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Toàn bộ việc thanh toán sẽ được tiến hành dưới sự xuất trình những chứng từ sau:</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bản gốc vận đơn đường biển hoàn hảo, đã xếp hàng, lập theo lệnh Ngân hàng mở, ghi</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rõ “ cước phí đã trả trước”,</w:t>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thương mại:3 bản chính Phiếu đóng gói:3 bản chính</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Giấy chứng nhận chất lượng và số lượng do Nhà sản xuất cấp: 3 bản chính Giấy chứng nhận xuất xứ do Phòng thương mại và Công nghiệp .(nước chế tạo) cấp Chứng nhận bảo hiểm (mọi rủi ro) bằng .... giá trị hợp đồng theo quy định tại điều 01 của bản hợp đồng này.</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Chấp nhận một bộ chứng từ không có giá trị thanh toán bao gồm cả bản sao hợp đồng thuê tàu gửi qua DHL cho bên Mua chậm nhất 7 ngày kể từ ngày ký phát vận đơn đến địa chỉ (địa chỉ của bên mua). Mọi chi phí phát sinh do việc giao chứng từ không đúng, không đầy đủ hoặc giao chậm của bên Bán do bên bán chịu.</w:t>
      </w:r>
    </w:p>
    <w:p w:rsidR="00000000" w:rsidDel="00000000" w:rsidP="00000000" w:rsidRDefault="00000000" w:rsidRPr="00000000" w14:paraId="0000004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 Thuê tàu</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bán cam kết rằng ký hợp đồng thuê tàu của các chủ tàu có uy tín trên thị trường, đối với tàu biển đủ tiêu chuẩn đi biển Quốc tế, tuổi tàu không quá 15 năm Trong hợp đồng thuê tàu thể hiện rõ cước phí đã trả trước, chủ tàu (người chuyên chở) chịu mọi trách nhiệm về hàng hóa kể từ khi hàng được bốc qua lan can tàu.</w:t>
      </w:r>
    </w:p>
    <w:p w:rsidR="00000000" w:rsidDel="00000000" w:rsidP="00000000" w:rsidRDefault="00000000" w:rsidRPr="00000000" w14:paraId="0000004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 Bảo hiểm</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hóa phải được bảo hiểm bởi một công ty bảo hiểm được thành lập một cách hợp pháp và có khả năng bảo hiểm mọi rủi ro đối với hàng hóa.</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được bảo hiểm: Mọi rủi ro mất mát vật chất hoặc thiệt hại do các yếu tố bên ngoài gây ra và bao gồm cả rủi ro chiến tranh bạo động, bạo loạn và nổi loạn dân sự (đối với các nước có nguy cơ xảy ra chiến tranh, bạo động, bạo loạn cao cần yêu cầu các loại bảo hiểm này)</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bảo hiểm: Từ kho đến kho (Warehouse to Warehouse) nhưng bao gồm cả chuyển tải (nếu có)</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điều kiện bảo hiểm sẽ tuân theo:</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hưởng lợi từ Bảo hiểm: Công ty TNHH Giao thương Quốc tế ABC; Khi rủi ro xảy ra khiếu nại được thanh toán tại Hải Phòng, Việt Nam (bằng đồng USD).</w:t>
      </w:r>
    </w:p>
    <w:p w:rsidR="00000000" w:rsidDel="00000000" w:rsidP="00000000" w:rsidRDefault="00000000" w:rsidRPr="00000000" w14:paraId="0000005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8: Kiểm tra hàng hóa</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 Bên bán phải kiểm tra hàng hóa trước khi giao hàng (Kiểm tra lần 1). Toàn bộ chi phí do Bên bán chịu,</w:t>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 Kiểm tra lần hai do Công ty Cổ phần Chứng nhận và Giám định Vinacontrol (hoặc SGS Việt Nam), chi phí kiểm tra do bên mua chịu.</w:t>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8.3 Sự khác biệt giữa kết quả kiểm tra lần đầu và kết quả kiểm tra lần 2 thì kết quả kiểm tra lần 2 có tính quyết định. Trong trường hợp có sự khác biệt về số lượng hoặc chất lượng (chi tiết của phụ tùng), Bên mua có quyền đòi bên bán:</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Gửi ngay lập tức hàng hóa với chất như đã cam kết trong hợp đồng này trong vòng 30 ngày làm việc sau khi nhận được khiếu nại.</w:t>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Thay thế những phần hoặc toàn bộ hàng hóa không đảm bảo bằng những phần hoặc hàng hóa mới, đảm bảo chất lượng theo đúng quy định trong hợp đồng. Các chi phí liên quan do bên bán chịu.</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bán phải giải quyết khiếu nại của bên mua trong vòng 15 ngày kể từ khi nhận được khiếu nại.</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mua có quyền từ chối không nhận hàng nếu xét thấy có sự khác biệt nói ở điều 8.3 của hàng hóa không thể khắc phục được.</w:t>
      </w:r>
    </w:p>
    <w:p w:rsidR="00000000" w:rsidDel="00000000" w:rsidP="00000000" w:rsidRDefault="00000000" w:rsidRPr="00000000" w14:paraId="0000005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9: Bảo hành</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bảo hành cho Hàng Cung Cấp là tháng kể từ ngày ký vận đơn đường biển hoặc 2000 giờ hoạt động tùy theo điều kiện nào đến trước.</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Bên Bán bảo đảm rằng vật tư/ thiết bị cung cấp theo hợp đồng này là mới, không bị lỗi và theo đúng các chỉ tiêu kỹ thuật</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suốt thời gian bảo hành Bên Bán sẽ sửa chữa, thay thế, miễn phí cho những thiếu sót, hỏng hóc của Công Việc mà những thiếu sót, hỏng hóc này do sự cẩu thả của Bên Mua hay do sự hao mòn tự nhiên gây nên.</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thời gian bảo hành Bên Mua phải thông báo cho Bên Bán về mọi hư hỏng bằng văn bản. Bên bán, ngay sau khi nhận tin bán này, phải sửa chữa hoặc thay thế các bộ phận hư hỏng bằng thiết bị mới. Dự đoán về thời gian sửa chữa hoặc thay thế phải được thông báo cho Bên Mua. Tất cả các chi phí liên quan đến việc sửa chữa, thay thế thiết bị sẽ do người bán chịu.</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Bên Bán đảm bảo rằng tất cả phần sửa chữa và thay thế trong quá trình bảo hành cũng được bảo hành hết thời gian bảo hành gốc của thiết bị khiếm khuyết ban đầu hoặc là ngày kể từ ngày thay thế hoặc sửa chữa, tùy theo ngày nào tới trễ hơn.</w:t>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Bên bán sẽ không chịu trách nhiệm cho bất kỳ hư hỏng nào do lỗi hoặc vận hành không đúng quy cách của Bên Mua.</w:t>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Bất cứ lúc nào Bên Bán cũng có thể đưa thiết bị những sửa đổi về kỹ thuật nếu việc đó cần thiết do sự thay đổi về công nghệ và/ hoặc do sự sẵn có của linh kiện miễn là thiết bị được thay đổi có chức năng tương đương hoặc tốt hơn thiết bị ghi trong hợp đồng và tương thích với nó. Trong những trường hợp này Bên Bán sẽ thông báo trước kịp thời cho Bên Mua về những thay đổi đó.</w:t>
      </w:r>
    </w:p>
    <w:p w:rsidR="00000000" w:rsidDel="00000000" w:rsidP="00000000" w:rsidRDefault="00000000" w:rsidRPr="00000000" w14:paraId="0000006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10: Bảo lãnh thực hiện hợp đồng</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vòng 10  ngày sau khi ký hợp đồng, Bên bán phải mở bảo lãnh thực hiện hợp đồng với giá trị là 10% tổng giá trị hợp đồng (tức là 10.000 USD) ghi trong điều khoản 3.</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Bảo lãnh thực hiện hợp đồng có giá trị đến 30 ngày sau ngày kết thúc thời hạn bảo hành sẽ được trả cho bên bán sau khi hết hạn</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Bảo lãnh sẽ được phát hành bởi một Ngân hàng được chấp nhận bởi người mua bằng một bảo lãnh không hủy ngang và vô điều kiện theo mẫu được người mua chấp nhận.</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chi phí phát sinh khi mở bảo lãnh đều do Bên Bán chịu và Bên Bán phải bồi thường và bảo đảm việc bồi thường cho Bên Mua khỏi những chi phí này.</w:t>
      </w:r>
    </w:p>
    <w:p w:rsidR="00000000" w:rsidDel="00000000" w:rsidP="00000000" w:rsidRDefault="00000000" w:rsidRPr="00000000" w14:paraId="0000006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11: Chấm dứt hợp đồng</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Bất kỳ Bên Bán hay Bên Mua đều không được phép chấm dứt hay trì hoãn việc thực hiện toàn bộ hay từng phần hợp đồng nếu không có sự đồng ý trước bằng văn bản của bên kia, với điều kiện là bên yêu cầu chấm dứt hợp đồng phải cho phía đối tác một thời hạn hợp lý để khắc phục những khó khăn dẫn đến việc không thực hiện hợp đồng. Nếu như sau thời hạn đó, bên vi phạm vẫn không hoàn thành được nghĩa vụ của mình, bên yêu cầu chấm dứt hợp đồng sẽ thông báo chấm dứt hợp đồng bằng văn bản.</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trường hợp do lỗi của Bên Bán, Bên Mua có quyền đòi một khoản đền bù thiệt hại nhưng không quá bảo lãnh thực hiện hợp đồng quy định trong điều khoản 10. Bên Mua sẽ trả lại các sản phẩm không đáp ứng đúng các chỉ tiêu kỹ thuật như đã thỏa thuận và thống nhất tại Phụ Lục 01 (Danh mục vật tư) cho Bên Bán mà không phải bồi thường cho Bên bán những chi phí do bên Bán chịu khi cung cấp các sản phẩm này. Bên Bán sẽ phải hoàn trả cho Bên Mua tất cả các khoản tiền đã trả cho sản phẩm hỏng nói trên vào ngày chấm dứt hợp đồng. Bên bán sẽ chịu trách nhiệm thanh toán chi phí vận chuyển và các chi phí khác liên quan đến việc trả lại sản phẩm. Không tính bất kỳ khoản khiếu nại hay thanh toán bồi thường thiệt hại nào khác.</w:t>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trường hợp do lỗi của Bên Mua, Hai bên sẽ thỏa thuận và xác nhận những phần việc mà Bên Bán đã thực hiện đến ngày chấm dứt hợp đồng. Bên Mua sẽ phải thanh toán cho Bên Bán giá trị của những phần việc đã hoàn thành nói trên.</w:t>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trường hợp một bên bị vỡ nợ, phải chuyển nhượng tất cả quyền lợi cho chủ nợ, buộc phải chấp nhận hoặc cho phép người tiếp nhận tài sản hoặc các hoạt động kinh doanh, phải tuân theo các thủ tục của Luật phá sản trong nước hoặc nước ngoài theo hình thức tự nguyện hay bắt buộc. Bên vỡ nợ phải thông báo ngay lập tức cho bên kia bằng văn bản và cả hai bên sẽ cố gắng tìm giải pháp thích hợp nhất cho vụ việc.</w:t>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Sẽ không bên nào có lỗi nếu sự không hoàn thành nhiệm vụ theo hợp đồng xảy ra vì trường hợp bất khả kháng. Nếu trong trường hợp bất khả kháng kéo dài hơn 06 tháng, hai bên sẽ gặp gỡ và cố gắng tìm giải pháp thích hợp chung cho trường hợp này.</w:t>
      </w:r>
    </w:p>
    <w:p w:rsidR="00000000" w:rsidDel="00000000" w:rsidP="00000000" w:rsidRDefault="00000000" w:rsidRPr="00000000" w14:paraId="0000006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12: Trách nhiệm pháp lý/Phạt giao hàng chậm</w:t>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bất kỳ một khoản tiền nào mà được xác định là nợ phải trả cho Bên Mua dưới dạng trách nhiệm pháp lý hoặc phạt giao hàng chậm, số tiền này sẽ được thanh toán riêng, không tính chung với các thanh toán khác cho Bên Bán theo hợp đồng này.</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Trách nhiệm pháp lý của Bên Bán liên quan tới bất cứ hành động hay sự thiếu sót, liên quan đến sản phẩm đã bán, đã thực hiện dịch vụ hay đã cung cấp, dù là trực tiếp hoặc gián tiếp theo hợp đồng này, dù là quy định trong hợp đồng, trong bảo hành, do sai sót hoặc thất bại khi thực hiện mục đích cần thiết về lầm lỗi( bao gồm cả do cẩu thả hay trách nhiệm tuyệt đối),thì sự bồi thường hay những đền bù tương tự khác đều không vượt quá tổng giá trị hợp đồng ( hoặc 100.000 USD trong trường hợp giá trị hợp đồng nhiều hơn 100.000 USD) cho mọi trách nhiệm trong toàn thể các điều khoản của hợp đồng.</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trường hợp việc giao thiết bị/ vật tư, hãy thực hiện Dịch Vụ ( căn cứ theo ngày của Biên Bản Nghiệm Thu) bị chậm trễ vì bất cứ lý do nào thuộc trách nhiệm Bên Bán, Bên Mua có thể khiếu nại đòi thanh toán các khoản thiệt hại từ 0.5% một tuần đến mức tối đa 5% tính trên trị giá thiết bị/ vật tư giao chậm hoặc Công việc chậm triển khai.</w:t>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trừ được đề cập đến một cách cụ thể, không bên nào sẽ phải chịu trách nhiệm về những thiệt hại gián tiếp, ngẫu nhiên, những thiệt hại đặc biệt hay những hậu quả kể cả nhưng sẽ không chỉ giới hạn bởi các tổn thất về lợi nhuận hay doanh thu, tổn thất về đầu tư, về uy tín của công ty hoặc chi phí vốn.</w:t>
      </w:r>
    </w:p>
    <w:p w:rsidR="00000000" w:rsidDel="00000000" w:rsidP="00000000" w:rsidRDefault="00000000" w:rsidRPr="00000000" w14:paraId="0000007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13: Trường hợp bất khả kháng</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bất kỳ trường hợp nào ngoài sự kiểm soát của mỗi bên, làm ảnh hưởng đến nghĩa vụ thực hiện tất cả hoặc một phần hợp đồng của mỗi bên thì thời gian quy định thực hiện nghĩa vụ này sẽ được gia hạn dài ra bằng với khoảng thời gian do hậu quả của trường hợp bất khả kháng gây ra. Những sự kiện mà (sau đây gọi là “Bất Khả Kháng”) bao gồm nhưng không giới hạn bởi:</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Thiên tai bao gồm: Bão, động đất, lũ lụt hay bất kỳ hình thức nào khác do thiên nhiên gây ra mà sức mạnh và sự tàn phá của nó không thể lường trước hoặc chống lại được.</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Chiến tranh (tuyên bố hoặc không tuyên bố), chiến sự, xâm lược, hoạt động của kẻ thù bên ngoài, đe dọa hoặc chuẩn bị chiến tranh, bạo động, khởi nghĩa, xáo trộn công cộng, nổi loạn, cách mạng, nội chiến, các đình công, phá hoại của công nhân.</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Mặc dù đã đề cập ở trên, không bên nào được miễn trách nhiệm thanh toán các khoản đáo hạn cho nghĩa vụ của mình vì bất cứ lý do Bất khả kháng.</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trường hợp bất khả kháng, các bên sẽ thông báo cho nhau về các biến cố của trường hợp này, và cả những hậu quả có thể xảy ra cho việc thực hiện hợp đồng này trong vòng 20 ngày kể từ khi xảy ra biến cố. Thời gian giao hàng trong trường hợp này sẽ được kéo dài với sự nhất trí của hai bên.</w:t>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các tình huống do bất khả kháng gây ra kéo dài hơn 6 tháng, các điều khoản và điều kiện của hợp đồng sẽ được xem xét một cách hợp lý và thống nhất hòa thuận giữa hai bên.</w:t>
      </w:r>
    </w:p>
    <w:p w:rsidR="00000000" w:rsidDel="00000000" w:rsidP="00000000" w:rsidRDefault="00000000" w:rsidRPr="00000000" w14:paraId="0000007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14: Sửa đổi hợp đồng</w:t>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kỳ một sự sửa đổi hay bổ sung hợp đồng sẽ chỉ có giá trị nếu như được đại diện có thẩm quyền của hai bên ký vào văn bản sửa đổi, bổ sung. Văn bản sửa đổi, bổ sung này sẽ là một phần không tách rời của hợp đồng.Tiếng Anh và Tiếng Việt sẽ được sử dụng trong tất cả các giao dịch, thông tin liên lạc giữa hai bên.</w:t>
      </w:r>
    </w:p>
    <w:p w:rsidR="00000000" w:rsidDel="00000000" w:rsidP="00000000" w:rsidRDefault="00000000" w:rsidRPr="00000000" w14:paraId="0000007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15: Trọng tài kinh tế</w:t>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Mọi vấn đề khác biệt hay tranh chấp phát sinh từ hợp đồng này hay các văn bản thỏa thuận có liên quan đến việc thực thi hợp đồng sẽ được giải quyết bằng sự nỗ lực hòa giải giữa các bên.</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Bất kỳ tranh chấp hay khác biệt có liên quan đến hợp đồng mà không thể giải quyết trên cơ sở hòa giải thì sẽ được giải quyết tại Trung tâm trọng tài Quốc tế ở Việt Nam (Gọi tắt là luật) với ba trọng tài bổ nhiệm theo quy định của Luật.</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điểm phân xử tại Trung tâm trọng tài quốc tế của Việt Nam đặt ở văn phòng thương mại và công nghiệp nước Việt Nam. Luật tố tụng của Việt Nam sẽ được áp dụng trong trường hợp Luật trọng tài không đề cập đến.</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Mọi tranh chấp sẽ được giải quyết theo các điều khoản của hợp đồng và các thỏa thuận khác liên quan đến việc thực hiện hợp đồng, nếu không thì sẽ áp dụng luật định của Việt Nam mà không tham chiếu đến các luật khác.</w:t>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Phán quyết của trọng tài sẽ được ghi bằng văn bản, là quyết định cuối cùng và sẽ ràng buộc trách nhiệm của cả hai bên.</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 phí trọng tài và/ hay những chi phí khác sẽ do bên thua kiện thanh toán.</w:t>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Tiếng Việt là ngôn ngữ được sử dụng trong phân xử</w:t>
      </w:r>
    </w:p>
    <w:p w:rsidR="00000000" w:rsidDel="00000000" w:rsidP="00000000" w:rsidRDefault="00000000" w:rsidRPr="00000000" w14:paraId="0000008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16: Luật điều chỉnh hợp đồng</w:t>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Luật điều chỉnh hợp đồng sẽ là luật của nước Cộng hòa xã hội chủ nghĩa Việt Nam</w:t>
      </w:r>
    </w:p>
    <w:p w:rsidR="00000000" w:rsidDel="00000000" w:rsidP="00000000" w:rsidRDefault="00000000" w:rsidRPr="00000000" w14:paraId="0000008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17: Không chuyển nhượng</w:t>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Bán không được phép chuyển nhượng một phần hay toàn bộ hợp đồng trực tiếp hay gián tiếp mà không được sự đồng ý trước bằng văn bản của Bên Mua. Trong trường hợp có sự đồng ý của hai bên, từng điểm, hay nhiều điểm, của hợp đồng sẽ được chuyển nhượng một cách hợp pháp, phần còn lại không thay đổi.</w:t>
      </w:r>
    </w:p>
    <w:p w:rsidR="00000000" w:rsidDel="00000000" w:rsidP="00000000" w:rsidRDefault="00000000" w:rsidRPr="00000000" w14:paraId="0000008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18: Ngôn ngữ và hệ thống đo</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18.1 Tất cả giao dịch, liên lạc giữa hai bên bao gồm thông báo, yêu cầu, thỏa thuận, chào hàng hay đề nghị sẽ được thực hiện bằng tiếng Anh hoặc tiếng Việt. Tất cả các bản vẽ, mô tả kỹ thuật, báo cáo hay các tài liệu khác sẽ được soạn thảo bằng tiếng Anh. Hợp đồng được lập bằng cả tiếng Anh và Tiếng Việt và có giá trị pháp lý như nhau, nếu có sự khác biệt giữa tiếng Anh và tiếng Việt thì bản tiếng Việt làm chuẩn.</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18.2 Tất cả các tài liệu kèm theo hợp đồng sẽ theo hệ thống hệ mét (hệ SI) và ngày là ngày dương lịch, ngoại trừ có các quy định khác.</w:t>
      </w:r>
    </w:p>
    <w:p w:rsidR="00000000" w:rsidDel="00000000" w:rsidP="00000000" w:rsidRDefault="00000000" w:rsidRPr="00000000" w14:paraId="0000008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19: Toàn bộ hợp đồng</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giữa hai bên bao gồm các điều khoản được ghi trong bản hợp đồng này và các phụ lục đính kèm theo sau đây:</w:t>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Phụ lục 01: Danh mục thiết bị và Thông số kỹ thuật chi tiết.</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Phụ lục 02: Mẫu Bảo lãnh thực hiện hợp đồng.</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điều khoản và điều kiện cùng tất cả các phụ lục đính kèm tạo nên một bộ hợp đồng giữa Bên Mua và Bên Bán</w:t>
      </w:r>
    </w:p>
    <w:tbl>
      <w:tblPr>
        <w:tblStyle w:val="Table1"/>
        <w:tblW w:w="9389.0" w:type="dxa"/>
        <w:jc w:val="left"/>
        <w:tblInd w:w="-15.0" w:type="dxa"/>
        <w:tblLayout w:type="fixed"/>
        <w:tblLook w:val="0400"/>
      </w:tblPr>
      <w:tblGrid>
        <w:gridCol w:w="4509"/>
        <w:gridCol w:w="4880"/>
        <w:tblGridChange w:id="0">
          <w:tblGrid>
            <w:gridCol w:w="4509"/>
            <w:gridCol w:w="4880"/>
          </w:tblGrid>
        </w:tblGridChange>
      </w:tblGrid>
      <w:tr>
        <w:trPr>
          <w:cantSplit w:val="0"/>
          <w:trHeight w:val="844" w:hRule="atLeast"/>
          <w:tblHeader w:val="0"/>
        </w:trPr>
        <w:tc>
          <w:tcPr>
            <w:vAlign w:val="center"/>
          </w:tcPr>
          <w:p w:rsidR="00000000" w:rsidDel="00000000" w:rsidP="00000000" w:rsidRDefault="00000000" w:rsidRPr="00000000" w14:paraId="0000008F">
            <w:pPr>
              <w:widowControl w:val="0"/>
              <w:spacing w:after="20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BÊN MUA</w:t>
            </w:r>
          </w:p>
        </w:tc>
        <w:tc>
          <w:tcPr>
            <w:vAlign w:val="center"/>
          </w:tcPr>
          <w:p w:rsidR="00000000" w:rsidDel="00000000" w:rsidP="00000000" w:rsidRDefault="00000000" w:rsidRPr="00000000" w14:paraId="00000090">
            <w:pPr>
              <w:widowControl w:val="0"/>
              <w:spacing w:after="20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BÊN BÁN</w:t>
            </w:r>
          </w:p>
        </w:tc>
      </w:tr>
    </w:tbl>
    <w:p w:rsidR="00000000" w:rsidDel="00000000" w:rsidP="00000000" w:rsidRDefault="00000000" w:rsidRPr="00000000" w14:paraId="00000091">
      <w:pPr>
        <w:spacing w:after="200" w:before="0" w:lineRule="auto"/>
        <w:rPr>
          <w:rFonts w:ascii="Times New Roman" w:cs="Times New Roman" w:eastAsia="Times New Roman" w:hAnsi="Times New Roman"/>
          <w:sz w:val="26"/>
          <w:szCs w:val="26"/>
        </w:rPr>
      </w:pPr>
      <w:r w:rsidDel="00000000" w:rsidR="00000000" w:rsidRPr="00000000">
        <w:rPr>
          <w:rtl w:val="0"/>
        </w:rPr>
      </w:r>
    </w:p>
    <w:sectPr>
      <w:pgSz w:h="15840" w:w="12240" w:orient="portrait"/>
      <w:pgMar w:bottom="90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spacing w:after="60" w:before="240" w:line="24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H1RzfqorrwGBI01cW/LmObvqqA==">CgMxLjAyDmguNnozaTJxNW9kOHN1OAByITFnQmxhaW5UMjBDQXVfYTcyN1dMbXhjZkVocXotLXVqNg==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