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Nhật ký ETL – Bước O (dữ liệu)</w:t>
      </w:r>
    </w:p>
    <w:p>
      <w:r>
        <w:t>Đề tài 12 – Tối ưu hóa danh mục cổ phiếu Việt Nam. Người phụ trách: TV2. Sinh tự động bởi run_all.py từ data/processed/etl_log.json.</w:t>
      </w:r>
    </w:p>
    <w:p>
      <w:pPr>
        <w:pStyle w:val="Heading2"/>
      </w:pPr>
      <w:r>
        <w:t>1. Tổng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Cửa sổ dữ liệu</w:t>
            </w:r>
          </w:p>
        </w:tc>
        <w:tc>
          <w:tcPr>
            <w:tcW w:type="dxa" w:w="4320"/>
          </w:tcPr>
          <w:p>
            <w:r>
              <w:t>2018-11-01 → 2026-09-30</w:t>
            </w:r>
          </w:p>
        </w:tc>
      </w:tr>
      <w:tr>
        <w:tc>
          <w:tcPr>
            <w:tcW w:type="dxa" w:w="4320"/>
          </w:tcPr>
          <w:p>
            <w:r>
              <w:t>Lịch giao dịch chung (theo VN-Index)</w:t>
            </w:r>
          </w:p>
        </w:tc>
        <w:tc>
          <w:tcPr>
            <w:tcW w:type="dxa" w:w="4320"/>
          </w:tcPr>
          <w:p>
            <w:r>
              <w:t>1973 phiên (2018-11-01 → 2026-09-30)</w:t>
            </w:r>
          </w:p>
        </w:tc>
      </w:tr>
      <w:tr>
        <w:tc>
          <w:tcPr>
            <w:tcW w:type="dxa" w:w="4320"/>
          </w:tcPr>
          <w:p>
            <w:r>
              <w:t>Vũ trụ ban đầu / giữ lại</w:t>
            </w:r>
          </w:p>
        </w:tc>
        <w:tc>
          <w:tcPr>
            <w:tcW w:type="dxa" w:w="4320"/>
          </w:tcPr>
          <w:p>
            <w:r>
              <w:t>30 mã (VN30 kỳ 01/2020) / 29 mã</w:t>
            </w:r>
          </w:p>
        </w:tc>
      </w:tr>
      <w:tr>
        <w:tc>
          <w:tcPr>
            <w:tcW w:type="dxa" w:w="4320"/>
          </w:tcPr>
          <w:p>
            <w:r>
              <w:t>Quy tắc điền thiếu</w:t>
            </w:r>
          </w:p>
        </w:tc>
        <w:tc>
          <w:tcPr>
            <w:tcW w:type="dxa" w:w="4320"/>
          </w:tcPr>
          <w:p>
            <w:r>
              <w:t>Điền giá phiên trước tối đa 5 phiên + cột cờ imputed</w:t>
            </w:r>
          </w:p>
        </w:tc>
      </w:tr>
      <w:tr>
        <w:tc>
          <w:tcPr>
            <w:tcW w:type="dxa" w:w="4320"/>
          </w:tcPr>
          <w:p>
            <w:r>
              <w:t>Ô giá được điền (imputed)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Ô NaN còn lại</w:t>
            </w:r>
          </w:p>
        </w:tc>
        <w:tc>
          <w:tcPr>
            <w:tcW w:type="dxa" w:w="4320"/>
          </w:tcPr>
          <w:p>
            <w:r>
              <w:t>1029 (thuộc các sự kiện ở mục 5)</w:t>
            </w:r>
          </w:p>
        </w:tc>
      </w:tr>
      <w:tr>
        <w:tc>
          <w:tcPr>
            <w:tcW w:type="dxa" w:w="4320"/>
          </w:tcPr>
          <w:p>
            <w:r>
              <w:t>VN-Index</w:t>
            </w:r>
          </w:p>
        </w:tc>
        <w:tc>
          <w:tcPr>
            <w:tcW w:type="dxa" w:w="4320"/>
          </w:tcPr>
          <w:p>
            <w:r>
              <w:t>Nguồn: vnindex_manual.csv (1973/1973 phiên khớp lịch); khoảng [659.21, 1927.94] điểm</w:t>
            </w:r>
          </w:p>
        </w:tc>
      </w:tr>
    </w:tbl>
    <w:p>
      <w:pPr>
        <w:pStyle w:val="Heading2"/>
      </w:pPr>
      <w:r>
        <w:t>2. Quy tắc làm sạch (4 bước)</w:t>
      </w:r>
    </w:p>
    <w:p>
      <w:pPr>
        <w:pStyle w:val="ListBullet"/>
      </w:pPr>
      <w:r>
        <w:t>Bước 1 – Chuẩn hóa: tên cột chữ thường; ngày về dạng ngày thuần (bỏ múi giờ +07:00); bỏ ngày trùng (giữ bản cuối); giá ≤ 0 → trống; trung vị giá &lt; 1.000 → nhân 1.000 (nghìn đồng → VND).</w:t>
      </w:r>
    </w:p>
    <w:p>
      <w:pPr>
        <w:pStyle w:val="ListBullet"/>
      </w:pPr>
      <w:r>
        <w:t>Bước 2 – Căn lịch: mọi mã đưa về cùng lịch phiên giao dịch của VN-Index.</w:t>
      </w:r>
    </w:p>
    <w:p>
      <w:pPr>
        <w:pStyle w:val="ListBullet"/>
      </w:pPr>
      <w:r>
        <w:t>Bước 3 – Xử lý thiếu: điền giá phiên trước tối đa 5 phiên (chỉ trong khoảng mã còn giao dịch), gắn cờ imputed = 1; thiếu dài hơn để trống và ghi lại.</w:t>
      </w:r>
    </w:p>
    <w:p>
      <w:pPr>
        <w:pStyle w:val="ListBullet"/>
      </w:pPr>
      <w:r>
        <w:t>Bước 4 – Kiểm tra cuối: loại mã thiếu lịch sử hoặc thiếu dài trước kỳ quyết định đầu; mã ngừng giao dịch sau đó được GIỮ (tránh thiên lệch sống sót) và ghi vào events.csv; quét biến động ngày &gt; 7,5% (vượt biên độ ±7% HOSE) để phát hiện giá chưa điều chỉnh.</w:t>
      </w:r>
    </w:p>
    <w:p>
      <w:pPr>
        <w:pStyle w:val="Heading2"/>
      </w:pPr>
      <w:r>
        <w:t>3. Số dòng trước/sau theo mã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Dòng thô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Trùng ngày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Giá ≤0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×1000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Sau căn lịch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Imputed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1080"/>
          </w:tcPr>
          <w:p>
            <w:r>
              <w:t>BID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BVH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CTD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CTG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EIB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FPT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GAS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HDB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HPG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MBB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MSN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MWG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NVL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PLX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PNJ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POW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1964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  <w:shd w:val="clear" w:color="auto" w:fill="FCE4D6"/>
          </w:tcPr>
          <w:p>
            <w:r>
              <w:t>LOẠI: đoạn thiếu 9 phiên (2018-12-28 → 2019-01-11) trước kỳ quyết định đầu → không đủ giá liên tục (A1)</w:t>
            </w:r>
          </w:p>
        </w:tc>
      </w:tr>
      <w:tr>
        <w:tc>
          <w:tcPr>
            <w:tcW w:type="dxa" w:w="1080"/>
          </w:tcPr>
          <w:p>
            <w:r>
              <w:t>REE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ROS</w:t>
            </w:r>
          </w:p>
        </w:tc>
        <w:tc>
          <w:tcPr>
            <w:tcW w:type="dxa" w:w="1080"/>
          </w:tcPr>
          <w:p>
            <w:r>
              <w:t>940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940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SAB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SBT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SSI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STB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TCB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VCB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VHM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VIC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VJC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VNM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VPB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  <w:tr>
        <w:tc>
          <w:tcPr>
            <w:tcW w:type="dxa" w:w="1080"/>
          </w:tcPr>
          <w:p>
            <w:r>
              <w:t>VRE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có</w:t>
            </w:r>
          </w:p>
        </w:tc>
        <w:tc>
          <w:tcPr>
            <w:tcW w:type="dxa" w:w="1080"/>
          </w:tcPr>
          <w:p>
            <w:r>
              <w:t>1973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giữ</w:t>
            </w:r>
          </w:p>
        </w:tc>
      </w:tr>
    </w:tbl>
    <w:p>
      <w:pPr>
        <w:pStyle w:val="Heading2"/>
      </w:pPr>
      <w:r>
        <w:t>4. Mã bị loại</w:t>
      </w:r>
    </w:p>
    <w:p>
      <w:pPr>
        <w:pStyle w:val="ListBullet"/>
      </w:pPr>
      <w:r>
        <w:t>POW: đoạn thiếu 9 phiên (2018-12-28 → 2019-01-11) trước kỳ quyết định đầu → không đủ giá liên tục (A1)</w:t>
      </w:r>
    </w:p>
    <w:p>
      <w:pPr>
        <w:pStyle w:val="Heading2"/>
      </w:pPr>
      <w:r>
        <w:t>5. Sự kiện giữ lại trong dữ liệu (data/processed/events.csv)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Sự kiện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Số phiên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Giá cuối (VND)</w:t>
            </w:r>
          </w:p>
        </w:tc>
        <w:tc>
          <w:tcPr>
            <w:tcW w:type="dxa" w:w="1234"/>
            <w:shd w:val="clear" w:color="auto" w:fill="1F3864"/>
          </w:tcPr>
          <w:p>
            <w:r/>
            <w:r>
              <w:rPr>
                <w:b/>
                <w:color w:val="FFFFFF"/>
              </w:rPr>
              <w:t>Xử lý</w:t>
            </w:r>
          </w:p>
        </w:tc>
      </w:tr>
      <w:tr>
        <w:tc>
          <w:tcPr>
            <w:tcW w:type="dxa" w:w="1234"/>
          </w:tcPr>
          <w:p>
            <w:r>
              <w:t>ROS</w:t>
            </w:r>
          </w:p>
        </w:tc>
        <w:tc>
          <w:tcPr>
            <w:tcW w:type="dxa" w:w="1234"/>
          </w:tcPr>
          <w:p>
            <w:r>
              <w:t>dung_giao_dich</w:t>
            </w:r>
          </w:p>
        </w:tc>
        <w:tc>
          <w:tcPr>
            <w:tcW w:type="dxa" w:w="1234"/>
          </w:tcPr>
          <w:p>
            <w:r>
              <w:t>2022-08-11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1029</w:t>
            </w:r>
          </w:p>
        </w:tc>
        <w:tc>
          <w:tcPr>
            <w:tcW w:type="dxa" w:w="1234"/>
          </w:tcPr>
          <w:p>
            <w:r>
              <w:t>2,510</w:t>
            </w:r>
          </w:p>
        </w:tc>
        <w:tc>
          <w:tcPr>
            <w:tcW w:type="dxa" w:w="1234"/>
          </w:tcPr>
          <w:p>
            <w:r>
              <w:t>giữ trong prices.csv, NaN sau ngày cuối; loại ở kỳ tái cân bằng kế tiếp</w:t>
            </w:r>
          </w:p>
        </w:tc>
      </w:tr>
    </w:tbl>
    <w:p>
      <w:pPr>
        <w:pStyle w:val="Heading2"/>
      </w:pPr>
      <w:r>
        <w:t>6. Biến động ngày &gt; 7,5% (cần giải thích)</w:t>
      </w:r>
    </w:p>
    <w:p>
      <w:pPr>
        <w:pStyle w:val="ListBullet"/>
      </w:pPr>
      <w:r>
        <w:t>ROS: 2022-05-04 (+16.1%)</w:t>
      </w:r>
    </w:p>
    <w:p>
      <w:pPr>
        <w:pStyle w:val="Heading2"/>
      </w:pPr>
      <w:r>
        <w:t>7. Lãi suất phi rủi ro (TPCP 10 năm)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Số dòng nguồn</w:t>
            </w:r>
          </w:p>
        </w:tc>
        <w:tc>
          <w:tcPr>
            <w:tcW w:type="dxa" w:w="4320"/>
          </w:tcPr>
          <w:p>
            <w:r>
              <w:t>2080</w:t>
            </w:r>
          </w:p>
        </w:tc>
      </w:tr>
      <w:tr>
        <w:tc>
          <w:tcPr>
            <w:tcW w:type="dxa" w:w="4320"/>
          </w:tcPr>
          <w:p>
            <w:r>
              <w:t>Số phiên có rf / tổng</w:t>
            </w:r>
          </w:p>
        </w:tc>
        <w:tc>
          <w:tcPr>
            <w:tcW w:type="dxa" w:w="4320"/>
          </w:tcPr>
          <w:p>
            <w:r>
              <w:t>1973 / 1973</w:t>
            </w:r>
          </w:p>
        </w:tc>
      </w:tr>
      <w:tr>
        <w:tc>
          <w:tcPr>
            <w:tcW w:type="dxa" w:w="4320"/>
          </w:tcPr>
          <w:p>
            <w:r>
              <w:t>rf thấp nhất – cao nhất (%/năm)</w:t>
            </w:r>
          </w:p>
        </w:tc>
        <w:tc>
          <w:tcPr>
            <w:tcW w:type="dxa" w:w="4320"/>
          </w:tcPr>
          <w:p>
            <w:r>
              <w:t>2.04% – 5.21%</w:t>
            </w:r>
          </w:p>
        </w:tc>
      </w:tr>
    </w:tbl>
    <w:p>
      <w:pPr>
        <w:pStyle w:val="Heading2"/>
      </w:pPr>
      <w:r>
        <w:t>8. Ghi chú tự động</w:t>
      </w:r>
    </w:p>
    <w:p>
      <w:pPr>
        <w:pStyle w:val="ListBullet"/>
      </w:pPr>
      <w:r>
        <w:t>Ô NaN còn lại thuộc các sự kiện trong data/processed/events.csv (mã ngừng giao dịch/thiếu dài sau kỳ quyết định đầu). Backtest (TV5) phải bán/loại các mã này ở kỳ tái cân bằng kế tiếp.</w:t>
      </w:r>
    </w:p>
    <w:p>
      <w:pPr>
        <w:pStyle w:val="Heading2"/>
      </w:pPr>
      <w:r>
        <w:t>9. Ghi chú thủ công của TV2</w:t>
      </w:r>
    </w:p>
    <w:p>
      <w:pPr>
        <w:pStyle w:val="ListBullet"/>
      </w:pPr>
      <w:r>
        <w:t>POW: thiếu 9 phiên 28/12/2018–11/01/2019 (do chuyển sàn UPCoM → HOSE: giao dịch cuối trên UPCoM 27/12/2018, hủy đăng ký giao dịch UPCoM từ 28/12/2018, niêm yết HOSE từ 14/01/2019 – nguồn: https://vnbusiness.vn/pow-se-niem-yet-tren-hose-tu-1412019.html); không đủ giá liên tục trước kỳ quyết định đầu → loại theo A1.</w:t>
      </w:r>
    </w:p>
    <w:p>
      <w:pPr>
        <w:pStyle w:val="ListBullet"/>
      </w:pPr>
      <w:r>
        <w:t>ROS: ngừng giao dịch trên HOSE sau 11/08/2022; giữ trong dữ liệu để tránh thiên lệch sống sót (xem events.csv); backtest bán ở kỳ tái cân bằng kế tiếp.</w:t>
      </w:r>
    </w:p>
    <w:p>
      <w:pPr>
        <w:pStyle w:val="ListBullet"/>
      </w:pPr>
      <w:r>
        <w:t>ROS: biến động +16,1% ngày 04/05/2022 là cộng dồn qua 3 phiên không có giá (27–29/04/2022) trước kỳ nghỉ lễ 30/4–1/5, không phải lỗi điều chỉnh giá.</w:t>
      </w:r>
    </w:p>
    <w:p>
      <w:pPr>
        <w:pStyle w:val="ListBullet"/>
      </w:pPr>
      <w:r>
        <w:t>Giá đã điều chỉnh: đối chiếu HPG – cổ tức năm 2021 trả 30% bằng cổ phiếu + 5% tiền mặt, ngày ĐKCC 20/06/2022, GDKHQ 17/06/2022 (nguồn: https://doanhnhan.baophapluat.vn/tap-doan-hoa-phat-hpg-chot-quyen-tra-co-tuc-nam-2021-ty-le-35-47265.html). Nếu chưa điều chỉnh, giá ngày GDKHQ phải giảm khoảng 23% (1 − 1/1,3). Giá vnstock: 16/06 = 15.870 đ, 17/06 = 15.690 đ (−1,13%); cả tuần 13–24/06/2022 không có phiên nào giảm quá biên độ 7% → giá ĐÃ điều chỉnh.</w:t>
      </w:r>
    </w:p>
    <w:p>
      <w:pPr>
        <w:pStyle w:val="ListBullet"/>
      </w:pPr>
      <w:r>
        <w:t>TPCP 10 năm: so 4 ngày (31/12/2019 3,378%; 30/12/2022 5,037%; 30/09/2026 4,581%; 26/10/2026 4,578%) với TradingView (TVC:VN10Y) → khớp (xem data/raw/tpcp10y_SOURCE.md).</w:t>
      </w:r>
    </w:p>
    <w:p>
      <w:pPr>
        <w:pStyle w:val="ListBullet"/>
      </w:pPr>
      <w:r>
        <w:t>VN-Index: điểm đóng cửa lấy từ Investing (data/raw/vnindex_manual.csv); so 3 ngày (31/12/2019 960,99; 30/12/2022 1.007,09; 30/09/2026 1.768,62) với TradingView (HOSE:VNINDEX) → khớp (xem data/raw/vnindex_manual_SOURCE.md).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