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31" w:rsidRPr="0053307F" w:rsidRDefault="0053307F" w:rsidP="0053307F">
      <w:pPr>
        <w:spacing w:before="72"/>
        <w:jc w:val="center"/>
        <w:rPr>
          <w:rFonts w:asciiTheme="majorHAnsi" w:hAnsiTheme="majorHAnsi" w:cstheme="minorHAnsi"/>
          <w:b/>
          <w:spacing w:val="-1"/>
          <w:sz w:val="32"/>
          <w:szCs w:val="28"/>
        </w:rPr>
      </w:pPr>
      <w:r w:rsidRPr="0053307F">
        <w:rPr>
          <w:rFonts w:asciiTheme="majorHAnsi" w:hAnsiTheme="majorHAnsi" w:cstheme="minorHAnsi"/>
          <w:b/>
          <w:spacing w:val="-1"/>
          <w:sz w:val="32"/>
          <w:szCs w:val="28"/>
        </w:rPr>
        <w:t xml:space="preserve">HOANG </w:t>
      </w:r>
      <w:r w:rsidRPr="0053307F">
        <w:rPr>
          <w:rFonts w:asciiTheme="majorHAnsi" w:hAnsiTheme="majorHAnsi" w:cstheme="minorHAnsi"/>
          <w:b/>
          <w:spacing w:val="-22"/>
          <w:sz w:val="32"/>
          <w:szCs w:val="28"/>
        </w:rPr>
        <w:t>VINH</w:t>
      </w:r>
      <w:r w:rsidR="00603731" w:rsidRPr="0053307F">
        <w:rPr>
          <w:rFonts w:asciiTheme="majorHAnsi" w:hAnsiTheme="majorHAnsi" w:cstheme="minorHAnsi"/>
          <w:b/>
          <w:spacing w:val="-22"/>
          <w:sz w:val="32"/>
          <w:szCs w:val="28"/>
        </w:rPr>
        <w:t xml:space="preserve">  </w:t>
      </w:r>
      <w:r w:rsidR="00603731" w:rsidRPr="0053307F">
        <w:rPr>
          <w:rFonts w:asciiTheme="majorHAnsi" w:hAnsiTheme="majorHAnsi" w:cstheme="minorHAnsi"/>
          <w:b/>
          <w:spacing w:val="-1"/>
          <w:sz w:val="32"/>
          <w:szCs w:val="28"/>
        </w:rPr>
        <w:t>NGUYEN</w:t>
      </w:r>
    </w:p>
    <w:p w:rsidR="00603731" w:rsidRPr="00B66205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6" w:history="1">
        <w:r w:rsidRPr="00F741BD">
          <w:rPr>
            <w:rStyle w:val="Hyperlink"/>
            <w:rFonts w:asciiTheme="majorHAnsi" w:eastAsia="Arial" w:hAnsiTheme="majorHAnsi" w:cstheme="minorHAnsi"/>
            <w:sz w:val="18"/>
            <w:szCs w:val="20"/>
            <w:lang w:val="fr-FR"/>
          </w:rPr>
          <w:t>Nguyen_H_Vinh@yahoo.com</w:t>
        </w:r>
      </w:hyperlink>
    </w:p>
    <w:p w:rsidR="00AF758D" w:rsidRPr="0053307F" w:rsidRDefault="001B4618" w:rsidP="0053307F">
      <w:pPr>
        <w:spacing w:before="12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A6D79">
        <w:rPr>
          <w:rFonts w:asciiTheme="majorHAnsi" w:hAnsiTheme="majorHAnsi" w:cstheme="minorHAnsi"/>
          <w:spacing w:val="1"/>
          <w:sz w:val="20"/>
          <w:szCs w:val="20"/>
        </w:rPr>
        <w:t>Technology</w:t>
      </w:r>
      <w:bookmarkStart w:id="0" w:name="_GoBack"/>
      <w:bookmarkEnd w:id="0"/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7D35D6" w:rsidRDefault="00AF758D" w:rsidP="0053307F">
      <w:pPr>
        <w:pStyle w:val="Heading2"/>
        <w:spacing w:before="120" w:after="120"/>
        <w:ind w:left="0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and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Leadership</w:t>
      </w:r>
    </w:p>
    <w:p w:rsidR="00960631" w:rsidRPr="0053307F" w:rsidRDefault="00960631" w:rsidP="007A79A3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senior management experience in banking and insurance</w:t>
      </w:r>
    </w:p>
    <w:p w:rsidR="00960631" w:rsidRPr="0053307F" w:rsidRDefault="00960631" w:rsidP="007A79A3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Progressive career from analyst to senior appointment at Fortune 50: AIG, PWC, CIBC, SCOTIA, MANULIFE, EXXON</w:t>
      </w:r>
    </w:p>
    <w:p w:rsidR="0053307F" w:rsidRPr="0053307F" w:rsidRDefault="00960631" w:rsidP="00DD2DE9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Mastery in implementing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960631" w:rsidRPr="0053307F" w:rsidRDefault="00960631" w:rsidP="00DD2DE9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Proven success in SaaS implementation, process automation, risk, audit for Treasury, Finance, Capital Markets, Life &amp; Retirement, Lending in USA, Canada, Europe, Asia-Pacific and Australia</w:t>
      </w:r>
    </w:p>
    <w:p w:rsidR="00960631" w:rsidRPr="0053307F" w:rsidRDefault="00960631" w:rsidP="00DD2DE9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Track record in 90+ cross-functional programs and rescuing missions over $50M, 5 streams, 120 FTE, 20 vendors for financial risk, SaaS back &amp; front-office, digital value chain, financial data warehouse, PMO startup, regulatory compliance, new market entry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10+ professional designations including CPA, CTP, CISA, PMP with graduate degrees in physics, mathematics, data sciences</w:t>
      </w:r>
    </w:p>
    <w:p w:rsidR="0018402A" w:rsidRPr="00AA300E" w:rsidRDefault="0018402A" w:rsidP="0053307F">
      <w:pPr>
        <w:pStyle w:val="Heading2"/>
        <w:spacing w:before="120" w:after="120"/>
        <w:ind w:left="0"/>
        <w:rPr>
          <w:rFonts w:asciiTheme="majorHAnsi" w:eastAsia="Times New Roman" w:hAnsiTheme="majorHAnsi" w:cstheme="minorHAnsi"/>
          <w:sz w:val="20"/>
          <w:szCs w:val="20"/>
          <w:lang w:val="en-CA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Achievement in Program</w:t>
      </w:r>
      <w:r w:rsidR="00B402BE">
        <w:rPr>
          <w:rFonts w:asciiTheme="majorHAnsi" w:eastAsia="Times New Roman" w:hAnsiTheme="majorHAnsi" w:cstheme="minorHAnsi"/>
          <w:sz w:val="20"/>
          <w:szCs w:val="20"/>
          <w:lang w:val="en-CA"/>
        </w:rPr>
        <w:t>-</w:t>
      </w: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Project Management, Governance and Management Consulting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Delivered $80M 3-year upgrade bankwide financial risk system for $2B reduced Regulatory Capital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3-year Life initiatives in 15 APAC countries to realize 4 x $70M objectives to manage reserve and develop business </w:t>
      </w:r>
    </w:p>
    <w:p w:rsidR="0053307F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Incubated a $6M system integration in asset management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Achieved OSFI certification to get Canadian banking license by designing and implementing SOX, COBIT, ITIL and ISO/IEC controls across 10 areas of IT General Control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Set up &amp; led PMO for CIBC Financial Risk and AIG APAC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Successfully rescued 10 high-profile projects of over $10M </w:t>
      </w:r>
    </w:p>
    <w:p w:rsidR="007D6A8D" w:rsidRDefault="007D6A8D" w:rsidP="0053307F">
      <w:pPr>
        <w:pStyle w:val="Heading2"/>
        <w:spacing w:before="120" w:after="120"/>
        <w:ind w:left="0"/>
        <w:rPr>
          <w:rFonts w:asciiTheme="majorHAnsi" w:hAnsiTheme="majorHAnsi" w:cstheme="minorHAnsi"/>
          <w:sz w:val="20"/>
          <w:szCs w:val="20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 xml:space="preserve">Achievement in </w:t>
      </w:r>
      <w:r w:rsidR="0036510E">
        <w:rPr>
          <w:rFonts w:asciiTheme="majorHAnsi" w:hAnsiTheme="majorHAnsi" w:cstheme="minorHAnsi"/>
          <w:sz w:val="20"/>
          <w:szCs w:val="20"/>
        </w:rPr>
        <w:t>Delivering</w:t>
      </w:r>
      <w:r w:rsidR="0036510E" w:rsidRPr="0036510E">
        <w:rPr>
          <w:rFonts w:asciiTheme="majorHAnsi" w:hAnsiTheme="majorHAnsi" w:cstheme="minorHAnsi"/>
          <w:sz w:val="20"/>
          <w:szCs w:val="20"/>
        </w:rPr>
        <w:t xml:space="preserve"> </w:t>
      </w:r>
      <w:r w:rsidR="0036510E" w:rsidRPr="00AA300E">
        <w:rPr>
          <w:rFonts w:asciiTheme="majorHAnsi" w:hAnsiTheme="majorHAnsi" w:cstheme="minorHAnsi"/>
          <w:sz w:val="20"/>
          <w:szCs w:val="20"/>
        </w:rPr>
        <w:t>Application</w:t>
      </w:r>
      <w:r w:rsidR="0036510E">
        <w:rPr>
          <w:rFonts w:asciiTheme="majorHAnsi" w:hAnsiTheme="majorHAnsi" w:cstheme="minorHAnsi"/>
          <w:sz w:val="20"/>
          <w:szCs w:val="20"/>
        </w:rPr>
        <w:t xml:space="preserve"> Modernization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, </w:t>
      </w:r>
      <w:r w:rsidRPr="00AA300E">
        <w:rPr>
          <w:rFonts w:asciiTheme="majorHAnsi" w:hAnsiTheme="majorHAnsi" w:cstheme="minorHAnsi"/>
          <w:sz w:val="20"/>
          <w:szCs w:val="20"/>
        </w:rPr>
        <w:t>Data</w:t>
      </w:r>
      <w:r w:rsidR="0036510E">
        <w:rPr>
          <w:rFonts w:asciiTheme="majorHAnsi" w:hAnsiTheme="majorHAnsi" w:cstheme="minorHAnsi"/>
          <w:sz w:val="20"/>
          <w:szCs w:val="20"/>
        </w:rPr>
        <w:t xml:space="preserve"> Integration</w:t>
      </w:r>
      <w:r w:rsidR="00B402BE">
        <w:rPr>
          <w:rFonts w:asciiTheme="majorHAnsi" w:hAnsiTheme="majorHAnsi" w:cstheme="minorHAnsi"/>
          <w:sz w:val="20"/>
          <w:szCs w:val="20"/>
        </w:rPr>
        <w:t>, Automation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 and</w:t>
      </w:r>
      <w:r w:rsidR="00B402BE">
        <w:rPr>
          <w:rFonts w:asciiTheme="majorHAnsi" w:hAnsiTheme="majorHAnsi" w:cstheme="minorHAnsi"/>
          <w:sz w:val="20"/>
          <w:szCs w:val="20"/>
        </w:rPr>
        <w:t xml:space="preserve"> Analytics</w:t>
      </w:r>
      <w:r w:rsidR="002440A6">
        <w:rPr>
          <w:rFonts w:asciiTheme="majorHAnsi" w:hAnsiTheme="majorHAnsi" w:cstheme="minorHAnsi"/>
          <w:sz w:val="20"/>
          <w:szCs w:val="20"/>
        </w:rPr>
        <w:t xml:space="preserve"> Initiatives</w:t>
      </w:r>
      <w:r w:rsidRPr="00AA300E">
        <w:rPr>
          <w:rFonts w:asciiTheme="majorHAnsi" w:hAnsiTheme="majorHAnsi" w:cstheme="minorHAnsi"/>
          <w:sz w:val="20"/>
          <w:szCs w:val="20"/>
        </w:rPr>
        <w:t xml:space="preserve">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Mentored migration of trade, bank, ledger data from 15+ legacy applications into SaaS platform for GAAP accounting, risk analytics and compliance monitoring</w:t>
      </w:r>
    </w:p>
    <w:p w:rsidR="0053307F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Modernized application platform for 7 risk areas over 5 asset classes from internal datawarehouse to Sungard risk system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Built Investment Book of Record for a Pension Plan manager with investment-centric view of positions for 40 runs hedge-fund strategies (equity long-short, credit long-short, index arbitrage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Delivered bankwide self-assessment with repository of 200 SOX controls, assessments and testing from 500 key processes </w:t>
      </w:r>
    </w:p>
    <w:p w:rsidR="002A2FD9" w:rsidRPr="007D35D6" w:rsidRDefault="002A2FD9" w:rsidP="0053307F">
      <w:pPr>
        <w:pStyle w:val="Heading2"/>
        <w:spacing w:before="120" w:after="120"/>
        <w:ind w:left="0"/>
        <w:rPr>
          <w:rFonts w:asciiTheme="majorHAnsi" w:hAnsiTheme="majorHAnsi" w:cstheme="minorHAnsi"/>
          <w:spacing w:val="-1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Achievement in </w:t>
      </w:r>
      <w:r w:rsidR="00023ADB">
        <w:rPr>
          <w:rFonts w:asciiTheme="majorHAnsi" w:hAnsiTheme="majorHAnsi" w:cstheme="minorHAnsi"/>
          <w:sz w:val="20"/>
          <w:szCs w:val="20"/>
        </w:rPr>
        <w:t>Implementing</w:t>
      </w:r>
      <w:r w:rsidRPr="007D35D6">
        <w:rPr>
          <w:rFonts w:asciiTheme="majorHAnsi" w:hAnsiTheme="majorHAnsi" w:cstheme="minorHAnsi"/>
          <w:sz w:val="20"/>
          <w:szCs w:val="20"/>
        </w:rPr>
        <w:t xml:space="preserve"> Risk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&amp;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>
        <w:rPr>
          <w:rFonts w:asciiTheme="majorHAnsi" w:hAnsiTheme="majorHAnsi" w:cstheme="minorHAnsi"/>
          <w:spacing w:val="-1"/>
          <w:sz w:val="20"/>
          <w:szCs w:val="20"/>
        </w:rPr>
        <w:t>, Compliance and SOX Auditing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the SOX auditing (methodology and audit findings fully disclosed to external auditors) of ITGC general control, IT dependent and Application Controls for Finance and Investments </w:t>
      </w:r>
    </w:p>
    <w:p w:rsidR="0053307F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Developed/deployed CIBC platform for automated SOX assessment &amp; assertion of controls across 5 departments (operations, middle office, back office, finance, IT)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Mentored the design, implementation of controls for 10 areas (IT governance, change, cyber security, etc.) to obtained OSFI certification for a Canadian bank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Tested and evaluated SOX IT General and IT Dependent controls for NYSE-listed AGNICO-EAGLE; compliance submisson included design, test plan/results, financial process flowcharts </w:t>
      </w:r>
    </w:p>
    <w:p w:rsidR="0018402A" w:rsidRPr="007D35D6" w:rsidRDefault="0018402A" w:rsidP="0053307F">
      <w:pPr>
        <w:pStyle w:val="Heading2"/>
        <w:spacing w:before="120" w:after="120"/>
        <w:ind w:left="0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="006C3F29">
        <w:rPr>
          <w:rFonts w:asciiTheme="majorHAnsi" w:hAnsiTheme="majorHAnsi" w:cstheme="minorHAnsi"/>
          <w:sz w:val="20"/>
          <w:szCs w:val="20"/>
        </w:rPr>
        <w:t xml:space="preserve"> in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023ADB">
        <w:rPr>
          <w:rFonts w:asciiTheme="majorHAnsi" w:hAnsiTheme="majorHAnsi" w:cstheme="minorHAnsi"/>
          <w:sz w:val="20"/>
          <w:szCs w:val="20"/>
        </w:rPr>
        <w:t>Methodology</w:t>
      </w:r>
      <w:r w:rsidRPr="007D35D6">
        <w:rPr>
          <w:rFonts w:asciiTheme="majorHAnsi" w:hAnsiTheme="majorHAnsi" w:cstheme="minorHAnsi"/>
          <w:sz w:val="20"/>
          <w:szCs w:val="20"/>
        </w:rPr>
        <w:t xml:space="preserve"> Project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>
        <w:rPr>
          <w:rFonts w:asciiTheme="majorHAnsi" w:hAnsiTheme="majorHAnsi" w:cstheme="minorHAnsi"/>
          <w:spacing w:val="-1"/>
          <w:sz w:val="20"/>
          <w:szCs w:val="20"/>
        </w:rPr>
        <w:t>, Business Analysis, Development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Data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Management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AGILE, SCRUM, PMBOK and gated PMLC methodologies from Scotia, CIBC, AIG, PwC, Sierra Systems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</w:p>
    <w:p w:rsidR="0053307F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Sarbanes-Oxley Act SOX, COSO &amp; COBIT framework, ITIL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Business Analysis User Story, Workflow, Data Modeling, SIPOC, Process Map, VOP/VOC, Six Sigma DMAIC, UML, Go4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Architecture 12-Factor AWS &amp; AZURE Microservices design patterns, Zachman framework, Information Engineering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Outsourcing models, RFQ, RFP, SLA, OLA, service catalogues</w:t>
      </w:r>
    </w:p>
    <w:p w:rsidR="0018402A" w:rsidRPr="007D35D6" w:rsidRDefault="0018402A" w:rsidP="0053307F">
      <w:pPr>
        <w:pStyle w:val="Heading2"/>
        <w:spacing w:before="120" w:after="120"/>
        <w:ind w:left="0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Pr="004D0C7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6C3F29">
        <w:rPr>
          <w:rFonts w:asciiTheme="majorHAnsi" w:hAnsiTheme="majorHAnsi" w:cstheme="minorHAnsi"/>
          <w:spacing w:val="-1"/>
          <w:sz w:val="20"/>
          <w:szCs w:val="20"/>
        </w:rPr>
        <w:t xml:space="preserve">in </w:t>
      </w:r>
      <w:r>
        <w:rPr>
          <w:rFonts w:asciiTheme="majorHAnsi" w:hAnsiTheme="majorHAnsi" w:cstheme="minorHAnsi"/>
          <w:spacing w:val="-1"/>
          <w:sz w:val="20"/>
          <w:szCs w:val="20"/>
        </w:rPr>
        <w:t>Technology Cloud Computing, Data-Intensive Applications, Microservices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Machine Learning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Framework Django, SQLAlchemy, Luigi DAG pipeline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Library DASK parallel computing, PANDAS, NUMPY. SCIKIT-LEARN, TENSORFLOW, PYTORCH, ASP.NET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AWS (S3, EC2, EBS, VPC), HDFS, SPARK (Core, SQL, Stream), ETL/ELT, MongoDB, ORACLE, SQL SERVER, NoSQL, Big Data SQL, Rest API, XML, HTML</w:t>
      </w:r>
      <w:r w:rsidRPr="0053307F">
        <w:rPr>
          <w:rFonts w:cstheme="minorHAnsi"/>
          <w:color w:val="000000" w:themeColor="text1"/>
          <w:spacing w:val="-1"/>
          <w:szCs w:val="20"/>
        </w:rPr>
        <w:tab/>
        <w:t xml:space="preserve">Language Python, R, Javascript, SQL, C++, Java, C 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TDD, CI/CD pipeline GitHub, Jenkins, Travis CI, AZURE DevOps (TFS), Docker, Kubernetes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BLUEPRISM/PEGA RPA, ERP SAP, CLEARWATER, SIMCORP, SUNGARD, ALGORITHMICS, JD EDWARDS 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ACL, Cognos</w:t>
      </w:r>
    </w:p>
    <w:p w:rsidR="0018402A" w:rsidRPr="007D35D6" w:rsidRDefault="0018402A" w:rsidP="0053307F">
      <w:pPr>
        <w:pStyle w:val="Heading2"/>
        <w:spacing w:before="120" w:after="120"/>
        <w:ind w:left="0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Qualifications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 (Harvard Ext. Graduate)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Advanced Python Data Sciences (Harvard Ext. Graduate)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MBA (Kellogg-HKUST)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MSc Master of Social Research (Macquarie Australia)</w:t>
      </w:r>
    </w:p>
    <w:p w:rsidR="0053307F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MSc Statistical Physics (NTH Norway)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Chartered Professional Accountant (CPA) 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Pr="0053307F" w:rsidRDefault="00960631" w:rsidP="00793B84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960631" w:rsidRPr="0053307F" w:rsidRDefault="00960631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Project Management Professional (PMP), Agile Certified Practitioner (PMI-ACP), Prof. Business Analyst (PMI-PBA)</w:t>
      </w:r>
    </w:p>
    <w:p w:rsidR="00285F3D" w:rsidRPr="006C3F29" w:rsidRDefault="00285F3D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sectPr w:rsidR="00285F3D" w:rsidRPr="006C3F29" w:rsidSect="00793B84">
          <w:type w:val="continuous"/>
          <w:pgSz w:w="12240" w:h="15840"/>
          <w:pgMar w:top="720" w:right="520" w:bottom="540" w:left="700" w:header="720" w:footer="720" w:gutter="0"/>
          <w:cols w:space="40"/>
        </w:sect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793B84">
          <w:pgSz w:w="12240" w:h="15840"/>
          <w:pgMar w:top="900" w:right="900" w:bottom="900" w:left="810" w:header="720" w:footer="720" w:gutter="0"/>
          <w:cols w:space="720"/>
        </w:sectPr>
      </w:pPr>
    </w:p>
    <w:p w:rsidR="00285F3D" w:rsidRPr="007D35D6" w:rsidRDefault="009B3B7A" w:rsidP="00F97E2F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pacing w:val="-1"/>
          <w:sz w:val="20"/>
          <w:szCs w:val="20"/>
        </w:rPr>
        <w:t xml:space="preserve">SELECTED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285F3D" w:rsidRPr="007D35D6" w:rsidRDefault="00285F3D" w:rsidP="00F97E2F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410F36" w:rsidRPr="0053307F" w:rsidRDefault="00410F3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DE5525" w:rsidRPr="0053307F" w:rsidRDefault="00DE5525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Completed a machine learning proof-of-concept for change management</w:t>
      </w:r>
      <w:r w:rsidR="00193C15" w:rsidRPr="0053307F">
        <w:rPr>
          <w:rFonts w:cstheme="minorHAnsi"/>
          <w:color w:val="000000" w:themeColor="text1"/>
          <w:spacing w:val="-1"/>
          <w:szCs w:val="20"/>
        </w:rPr>
        <w:t>, using Microsoft LUIS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to learn from evidences of testing, approval and promotion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(TFS JSON objects, Emails)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accurately determine compliance on 100% of population</w:t>
      </w:r>
    </w:p>
    <w:p w:rsidR="001E7A16" w:rsidRPr="0053307F" w:rsidRDefault="002641D8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ocumentation and testing of controls across 150 applications in Finance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, Treasury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, Actuarial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Risk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fully shared with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</w:p>
    <w:p w:rsidR="00285F3D" w:rsidRPr="007D35D6" w:rsidRDefault="00DB7A07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Apr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42331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H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d Continental Bank of Canada (CBOC)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comprehensively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9B65B2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Retail Loan Platform (RLP): Implemented 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of change in credit origination and shared insurance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REST API </w:t>
      </w:r>
      <w:r w:rsidRPr="0053307F">
        <w:rPr>
          <w:rFonts w:cstheme="minorHAnsi"/>
          <w:color w:val="000000" w:themeColor="text1"/>
          <w:spacing w:val="-1"/>
          <w:szCs w:val="20"/>
        </w:rPr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Core Deposits &amp; Payments Non-face-to-Face (NFF): 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H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>d 40 team leads from business (Process optimization, retail deposit, call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 xml:space="preserve"> Center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Pr="0053307F">
        <w:rPr>
          <w:rFonts w:cstheme="minorHAnsi"/>
          <w:color w:val="000000" w:themeColor="text1"/>
          <w:spacing w:val="-1"/>
          <w:szCs w:val="20"/>
        </w:rPr>
        <w:t>, AS400, Host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customer Non face to Face (NFF) and call center processes</w:t>
      </w:r>
    </w:p>
    <w:p w:rsidR="00285F3D" w:rsidRPr="007D35D6" w:rsidRDefault="00DB7A07" w:rsidP="009B65B2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Documented and tested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Finance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Governance,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Active Directory, database, middleware, security monitoring, application, help desk, change management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 payroll</w:t>
      </w:r>
    </w:p>
    <w:p w:rsidR="00285F3D" w:rsidRPr="007D35D6" w:rsidRDefault="00DB7A07" w:rsidP="009B65B2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SECURITIES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53307F" w:rsidRDefault="0042183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9B65B2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            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approval for the funding</w:t>
      </w:r>
    </w:p>
    <w:p w:rsidR="00285F3D" w:rsidRPr="007D35D6" w:rsidRDefault="00DB7A07" w:rsidP="009B65B2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FINANCIAL TECHNOLOGY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Jan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confirm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(Finance, Treasury, Operations, HR/Payroll, Management)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proposals from 7 vendors for ERP, data warehouse and BI solutions</w:t>
      </w:r>
    </w:p>
    <w:p w:rsidR="00863C10" w:rsidRPr="0053307F" w:rsidRDefault="00863C10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CONTROL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DIVISION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Developed the Tactical Solution to store the assessment (test, deficiencies tracking, remediation) and assertion (exceptions, sign-off) of SOX controls from 200 business unit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. This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was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the prototype for the bank’s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final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CSA &amp; Internal Control Repository</w:t>
      </w:r>
    </w:p>
    <w:p w:rsidR="00285F3D" w:rsidRPr="007D35D6" w:rsidRDefault="00DB7A07" w:rsidP="00F97E2F">
      <w:pPr>
        <w:pStyle w:val="Heading2"/>
        <w:tabs>
          <w:tab w:val="left" w:pos="180"/>
        </w:tabs>
        <w:spacing w:before="240" w:after="240"/>
        <w:ind w:left="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GLOBAL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pacing w:val="-1"/>
          <w:sz w:val="20"/>
          <w:szCs w:val="20"/>
        </w:rPr>
        <w:t>S</w:t>
      </w:r>
    </w:p>
    <w:p w:rsidR="00285F3D" w:rsidRPr="007D35D6" w:rsidRDefault="00DB7A07" w:rsidP="009B65B2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FINANCIAL TECHNOLOGY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$7.8M in 2 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3F6BE3">
        <w:rPr>
          <w:rFonts w:asciiTheme="majorHAnsi" w:hAnsiTheme="majorHAnsi" w:cstheme="minorHAnsi"/>
          <w:sz w:val="20"/>
          <w:szCs w:val="20"/>
        </w:rPr>
        <w:t xml:space="preserve">APAC </w:t>
      </w:r>
      <w:r w:rsidR="004F3A5D">
        <w:rPr>
          <w:rFonts w:asciiTheme="majorHAnsi" w:hAnsiTheme="majorHAnsi" w:cstheme="minorHAnsi"/>
          <w:sz w:val="20"/>
          <w:szCs w:val="20"/>
        </w:rPr>
        <w:t>INITIATIVES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AMERICAN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INT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ASSURANCE</w:t>
      </w:r>
      <w:r w:rsidRPr="007D35D6">
        <w:rPr>
          <w:rFonts w:asciiTheme="majorHAnsi" w:hAnsiTheme="majorHAnsi" w:cstheme="minorHAnsi"/>
          <w:sz w:val="20"/>
          <w:szCs w:val="20"/>
        </w:rPr>
        <w:t xml:space="preserve"> (AIG)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CE52B6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d 120 </w:t>
      </w:r>
      <w:r w:rsidRPr="0053307F">
        <w:rPr>
          <w:rFonts w:cstheme="minorHAnsi"/>
          <w:color w:val="000000" w:themeColor="text1"/>
          <w:spacing w:val="-1"/>
          <w:szCs w:val="20"/>
        </w:rPr>
        <w:t>professional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from 5 countries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to </w:t>
      </w:r>
      <w:r w:rsidRPr="0053307F">
        <w:rPr>
          <w:rFonts w:cstheme="minorHAnsi"/>
          <w:color w:val="000000" w:themeColor="text1"/>
          <w:spacing w:val="-1"/>
          <w:szCs w:val="20"/>
        </w:rPr>
        <w:t>successfully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Pr="0053307F" w:rsidRDefault="00DB7A07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>platform for endowment, group pension in 40 cities in India and Vietnam; set up AS400 data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ife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the new markets</w:t>
      </w:r>
    </w:p>
    <w:p w:rsidR="00652B23" w:rsidRPr="0053307F" w:rsidRDefault="00652B2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="00793B84"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 w:rsidR="00793B84">
        <w:rPr>
          <w:rFonts w:asciiTheme="majorHAnsi" w:hAnsiTheme="majorHAnsi" w:cstheme="minorHAnsi"/>
          <w:spacing w:val="-1"/>
          <w:sz w:val="20"/>
          <w:szCs w:val="20"/>
        </w:rPr>
        <w:t xml:space="preserve">           </w:t>
      </w:r>
      <w:r w:rsid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="00793B84"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  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285F3D" w:rsidRPr="0053307F" w:rsidRDefault="00652B2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I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mplement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 multi-dimensional analytics system financial risk for debt &amp; equity with capability to analyze syndication strategy and credit origination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decommission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he </w:t>
      </w:r>
      <w:r w:rsidRPr="0053307F">
        <w:rPr>
          <w:rFonts w:cstheme="minorHAnsi"/>
          <w:color w:val="000000" w:themeColor="text1"/>
          <w:spacing w:val="-1"/>
          <w:szCs w:val="20"/>
        </w:rPr>
        <w:t>WANG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system for treasury and corporate lending in 2 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4F3A5D"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PW</w:t>
      </w:r>
      <w:r w:rsidR="00A6134E" w:rsidRPr="007D35D6">
        <w:rPr>
          <w:rFonts w:asciiTheme="majorHAnsi" w:hAnsiTheme="majorHAnsi" w:cstheme="minorHAnsi"/>
          <w:spacing w:val="-1"/>
          <w:sz w:val="20"/>
          <w:szCs w:val="20"/>
        </w:rPr>
        <w:t>C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-PRICE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   </w:t>
      </w:r>
      <w:r w:rsidR="007317B1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285F3D" w:rsidRPr="0053307F" w:rsidRDefault="00652B2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Desi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gn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then implement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 budgeting and roster application for 5,000 unionized staff</w:t>
      </w:r>
      <w:r w:rsidR="00A6134E" w:rsidRPr="0053307F">
        <w:rPr>
          <w:rFonts w:cstheme="minorHAnsi"/>
          <w:color w:val="000000" w:themeColor="text1"/>
          <w:spacing w:val="-1"/>
          <w:szCs w:val="20"/>
        </w:rPr>
        <w:t xml:space="preserve"> 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56 branches and 84 service outlets</w:t>
      </w:r>
      <w:r w:rsidRPr="0053307F">
        <w:rPr>
          <w:rFonts w:cstheme="minorHAnsi"/>
          <w:color w:val="000000" w:themeColor="text1"/>
          <w:spacing w:val="-1"/>
          <w:szCs w:val="20"/>
        </w:rPr>
        <w:t>.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onfigur</w:t>
      </w:r>
      <w:r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PEOPLESOFT </w:t>
      </w:r>
      <w:r w:rsidR="00A6134E" w:rsidRPr="0053307F">
        <w:rPr>
          <w:rFonts w:cstheme="minorHAnsi"/>
          <w:color w:val="000000" w:themeColor="text1"/>
          <w:spacing w:val="-1"/>
          <w:szCs w:val="20"/>
        </w:rPr>
        <w:t>for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HR/Payroll/AR/AP and GL </w:t>
      </w:r>
      <w:r w:rsidR="00A6134E" w:rsidRPr="0053307F">
        <w:rPr>
          <w:rFonts w:cstheme="minorHAnsi"/>
          <w:color w:val="000000" w:themeColor="text1"/>
          <w:spacing w:val="-1"/>
          <w:szCs w:val="20"/>
        </w:rPr>
        <w:t>f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or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15,000 individual accounts statewide</w:t>
      </w:r>
    </w:p>
    <w:p w:rsidR="00285F3D" w:rsidRPr="0053307F" w:rsidRDefault="00652B23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WESTPAC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delivered a client-server based deal capture and position keeping for money market, currencies and derivatives. </w:t>
      </w:r>
      <w:r w:rsidR="00F72048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traders, 20 testers and 7 vendors to UAT of key processes of pricing, trading, settlement and GL posting</w:t>
      </w:r>
    </w:p>
    <w:p w:rsidR="002268F4" w:rsidRPr="002268F4" w:rsidRDefault="002268F4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</w:t>
      </w:r>
      <w:r w:rsidR="007317B1">
        <w:rPr>
          <w:rFonts w:asciiTheme="majorHAnsi" w:hAnsiTheme="majorHAnsi" w:cstheme="minorHAnsi"/>
          <w:sz w:val="20"/>
          <w:szCs w:val="20"/>
        </w:rPr>
        <w:t xml:space="preserve">            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 1986 – Sep 1990</w:t>
      </w:r>
    </w:p>
    <w:p w:rsidR="002268F4" w:rsidRPr="0053307F" w:rsidRDefault="002268F4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5 developers to build 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library for graphical ad booking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 xml:space="preserve"> and launch Scandinavia’s first commercial ad booking system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2268F4" w:rsidRPr="002268F4" w:rsidRDefault="007317B1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NORGE (EXXON)</w:t>
      </w:r>
      <w:r w:rsidR="002268F4"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 Norway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          </w:t>
      </w:r>
      <w:r w:rsidR="00F97E2F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 1984 – Sep 1986</w:t>
      </w:r>
    </w:p>
    <w:p w:rsidR="002268F4" w:rsidRPr="0053307F" w:rsidRDefault="002268F4" w:rsidP="0053307F">
      <w:pPr>
        <w:pStyle w:val="BodyText"/>
        <w:numPr>
          <w:ilvl w:val="0"/>
          <w:numId w:val="4"/>
        </w:numPr>
        <w:tabs>
          <w:tab w:val="left" w:pos="79"/>
        </w:tabs>
        <w:spacing w:before="0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Managed database of the North Sea projects financials 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>and the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Monte Carlo models o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yield volatility of pipelined</w:t>
      </w:r>
      <w:r w:rsidR="00A8586F" w:rsidRPr="0053307F">
        <w:rPr>
          <w:rFonts w:cstheme="minorHAnsi"/>
          <w:color w:val="000000" w:themeColor="text1"/>
          <w:spacing w:val="-1"/>
          <w:szCs w:val="20"/>
        </w:rPr>
        <w:t xml:space="preserve"> gas</w:t>
      </w:r>
    </w:p>
    <w:p w:rsidR="006C3F29" w:rsidRDefault="006C3F29">
      <w:pPr>
        <w:rPr>
          <w:rFonts w:asciiTheme="majorHAnsi" w:hAnsiTheme="majorHAnsi" w:cstheme="minorHAnsi"/>
          <w:sz w:val="20"/>
          <w:szCs w:val="20"/>
        </w:rPr>
      </w:pPr>
    </w:p>
    <w:sectPr w:rsidR="006C3F29" w:rsidSect="007D5707">
      <w:type w:val="continuous"/>
      <w:pgSz w:w="12240" w:h="15840"/>
      <w:pgMar w:top="1080" w:right="990" w:bottom="13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83CE7"/>
    <w:rsid w:val="00087170"/>
    <w:rsid w:val="000927FF"/>
    <w:rsid w:val="00093DFF"/>
    <w:rsid w:val="000C0B70"/>
    <w:rsid w:val="000C74E2"/>
    <w:rsid w:val="000D6E4E"/>
    <w:rsid w:val="00111AA8"/>
    <w:rsid w:val="001519B8"/>
    <w:rsid w:val="001778CC"/>
    <w:rsid w:val="0018284A"/>
    <w:rsid w:val="0018402A"/>
    <w:rsid w:val="00193C15"/>
    <w:rsid w:val="00193ED9"/>
    <w:rsid w:val="001B4618"/>
    <w:rsid w:val="001D152D"/>
    <w:rsid w:val="001D4F1D"/>
    <w:rsid w:val="001D7D09"/>
    <w:rsid w:val="001E7A16"/>
    <w:rsid w:val="00223F6C"/>
    <w:rsid w:val="00226241"/>
    <w:rsid w:val="002268F4"/>
    <w:rsid w:val="0023617E"/>
    <w:rsid w:val="002440A6"/>
    <w:rsid w:val="002461D5"/>
    <w:rsid w:val="00256BA4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B55AD"/>
    <w:rsid w:val="003B754B"/>
    <w:rsid w:val="003D24F7"/>
    <w:rsid w:val="003E0FCC"/>
    <w:rsid w:val="003F6BE3"/>
    <w:rsid w:val="00410F36"/>
    <w:rsid w:val="00421836"/>
    <w:rsid w:val="00423316"/>
    <w:rsid w:val="004572B3"/>
    <w:rsid w:val="004639B2"/>
    <w:rsid w:val="00495D37"/>
    <w:rsid w:val="004A7AF7"/>
    <w:rsid w:val="004C69A9"/>
    <w:rsid w:val="004D0C74"/>
    <w:rsid w:val="004F3A5D"/>
    <w:rsid w:val="00524976"/>
    <w:rsid w:val="0053307F"/>
    <w:rsid w:val="005514C8"/>
    <w:rsid w:val="0056700C"/>
    <w:rsid w:val="005849F1"/>
    <w:rsid w:val="005B62D8"/>
    <w:rsid w:val="005D6486"/>
    <w:rsid w:val="005E4C1D"/>
    <w:rsid w:val="00603731"/>
    <w:rsid w:val="006234CC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753D"/>
    <w:rsid w:val="007D35D6"/>
    <w:rsid w:val="007D5707"/>
    <w:rsid w:val="007D6A8D"/>
    <w:rsid w:val="007F0A99"/>
    <w:rsid w:val="00807B63"/>
    <w:rsid w:val="0084551E"/>
    <w:rsid w:val="00853BB3"/>
    <w:rsid w:val="00863C10"/>
    <w:rsid w:val="0087245D"/>
    <w:rsid w:val="00891784"/>
    <w:rsid w:val="00893B6F"/>
    <w:rsid w:val="008F594B"/>
    <w:rsid w:val="0094107F"/>
    <w:rsid w:val="00953F06"/>
    <w:rsid w:val="00960631"/>
    <w:rsid w:val="009B3B7A"/>
    <w:rsid w:val="009B65B2"/>
    <w:rsid w:val="009C7E93"/>
    <w:rsid w:val="009D79EE"/>
    <w:rsid w:val="00A03A85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46A7"/>
    <w:rsid w:val="00CA731B"/>
    <w:rsid w:val="00CC115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2048"/>
    <w:rsid w:val="00F741BD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_H_Vin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62C6A-5639-4A5F-B06F-22BB88CA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5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65</cp:revision>
  <cp:lastPrinted>2019-07-30T17:02:00Z</cp:lastPrinted>
  <dcterms:created xsi:type="dcterms:W3CDTF">2017-11-09T00:50:00Z</dcterms:created>
  <dcterms:modified xsi:type="dcterms:W3CDTF">2019-07-30T19:23:00Z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