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0951E4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Hoan</w:t>
      </w:r>
      <w:bookmarkStart w:id="0" w:name="_GoBack"/>
      <w:bookmarkEnd w:id="0"/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g </w:t>
      </w:r>
      <w:r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Pr="00626D34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https://www.linkedin.com/in/hoangvinhnguyen/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Pr="0044017B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</w:p>
    <w:p w:rsidR="00960631" w:rsidRDefault="00960631" w:rsidP="000A297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 for Treasury, Finance, Capital Markets, Life &amp; Retirement, Lending in USA, Canada, Europe, Asia-Pacific and Australia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Track record in 90+ cross-functional programs and rescuing missions over $50M, 5 streams, 120 FTE, 20 vendors for financial risk, SaaS back &amp; front-office, digital value chain, financial data warehouse, PMO startup, regulatory compliance, new market entry</w:t>
      </w:r>
    </w:p>
    <w:p w:rsidR="0044017B" w:rsidRPr="0044017B" w:rsidRDefault="0044017B" w:rsidP="0044017B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I</w:t>
      </w:r>
      <w:r w:rsidRPr="0044017B">
        <w:rPr>
          <w:rFonts w:cstheme="minorHAnsi"/>
          <w:color w:val="000000" w:themeColor="text1"/>
          <w:spacing w:val="-1"/>
          <w:szCs w:val="20"/>
        </w:rPr>
        <w:t>mplement</w:t>
      </w:r>
      <w:r>
        <w:rPr>
          <w:rFonts w:cstheme="minorHAnsi"/>
          <w:color w:val="000000" w:themeColor="text1"/>
          <w:spacing w:val="-1"/>
          <w:szCs w:val="20"/>
        </w:rPr>
        <w:t>ation experiences with key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10+ professional designations including CPA, CTP, CISA, PMP with graduate degrees in physics, mathematics, data sciences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  <w:t>Achievement</w:t>
      </w:r>
    </w:p>
    <w:p w:rsidR="0018402A" w:rsidRPr="00854072" w:rsidRDefault="0018402A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Achievement in Program</w:t>
      </w:r>
      <w:r w:rsidR="00B402BE"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-</w:t>
      </w: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44017B" w:rsidRDefault="00960631" w:rsidP="00A5772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44017B">
        <w:rPr>
          <w:rFonts w:cstheme="minorHAnsi"/>
          <w:color w:val="000000" w:themeColor="text1"/>
          <w:spacing w:val="-1"/>
          <w:szCs w:val="20"/>
        </w:rPr>
        <w:t>s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uccessfully rescued 10 high-profile projects of over $10M </w:t>
      </w:r>
    </w:p>
    <w:p w:rsidR="007D6A8D" w:rsidRPr="00854072" w:rsidRDefault="0036510E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Deliver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>ed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 xml:space="preserve">Industry-Compliant 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>Application Modernization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, 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>Data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Integration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>, Automation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 and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 xml:space="preserve"> Analytics</w:t>
      </w:r>
      <w:r w:rsidR="002440A6" w:rsidRPr="00854072">
        <w:rPr>
          <w:rFonts w:asciiTheme="majorHAnsi" w:hAnsiTheme="majorHAnsi" w:cstheme="minorHAnsi"/>
          <w:b w:val="0"/>
          <w:sz w:val="20"/>
          <w:szCs w:val="20"/>
        </w:rPr>
        <w:t xml:space="preserve"> Initiatives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</w:p>
    <w:p w:rsidR="009D7619" w:rsidRPr="009D7619" w:rsidRDefault="00960631" w:rsidP="00F86FD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  <w:r w:rsidR="009D7619" w:rsidRPr="009D7619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9D7619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="0044017B"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9D7619">
        <w:rPr>
          <w:rFonts w:cstheme="minorHAnsi"/>
          <w:color w:val="000000" w:themeColor="text1"/>
          <w:spacing w:val="-1"/>
          <w:szCs w:val="20"/>
        </w:rPr>
        <w:t>Built Investment Book of Record for a Pension Plan manager with investment-centric view of positions for 40 runs hedge-fund strategies (equity long-short, credit long-short, index arbitrage</w:t>
      </w:r>
    </w:p>
    <w:p w:rsidR="00960631" w:rsidRPr="009D7619" w:rsidRDefault="009D7619" w:rsidP="007F491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 xml:space="preserve">Developed/deployed platform for automated SOX assessment &amp; assertion of controls across 5 departments (operations, middle office, back office, finance, IT). 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Delivered bankwide self-assessment with repository of 200 SOX controls, assessments and testing from 500 key processes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Led the SOX auditing (methodology and audit findings fully disclosed to external auditors) of ITGC general control, IT dependent and Application Controls for Finance and Investments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Successfully implemented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AGILE, SCRUM, PMBOK and gated PMLC </w:t>
      </w:r>
      <w:r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Solid experience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10 years consulting, auditing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Sarbanes-Oxley Act SOX, COSO &amp; COBIT framework, </w:t>
      </w:r>
      <w:r w:rsidR="009D7619" w:rsidRPr="0044017B">
        <w:rPr>
          <w:rFonts w:cstheme="minorHAnsi"/>
          <w:color w:val="000000" w:themeColor="text1"/>
          <w:spacing w:val="-1"/>
          <w:szCs w:val="20"/>
        </w:rPr>
        <w:t>Six Sigma</w:t>
      </w:r>
    </w:p>
    <w:p w:rsidR="00960631" w:rsidRPr="0044017B" w:rsidRDefault="0044017B" w:rsidP="00A441B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Command and experienced with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User Story, Workflow, Data Modeling, SIPOC, Process Map, VOP/VOC, DMAIC, UML, Go4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12-Factor AWS &amp; AZURE Microservices design patterns, Zachman framework, Information Engineering 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61199B" w:rsidRPr="00854072" w:rsidRDefault="0061199B" w:rsidP="0061199B">
      <w:pPr>
        <w:pStyle w:val="Heading2"/>
        <w:spacing w:before="120" w:after="120" w:line="260" w:lineRule="atLeast"/>
        <w:rPr>
          <w:rFonts w:asciiTheme="majorHAnsi" w:hAnsiTheme="majorHAnsi" w:cstheme="minorHAnsi"/>
          <w:b w:val="0"/>
          <w:sz w:val="20"/>
          <w:szCs w:val="20"/>
        </w:rPr>
      </w:pP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Has five to eight years of experience including extensive experience in solving p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roblems of varying complexities;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  Has the ability to experiment and test solutions for problems, validate assumptions for them, and the ability to associate one idea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to another to reach a solution;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Has the trait to consistently improve the quality and structure of the previously wr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itten code;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Can communicate with clients about the business processes of their projects and has the ability to transform business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processes into programming code;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Can mentor the junior and mid-level developers of the team, and can designate tasks t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o team members in a balanced and effective manner;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Can comprehend the full scope of a project and make the best suggestions and methods to develop, test, im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plement, and maintain a project;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Is responsible for coaching junior developers and can manage a team do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ing simple to complicated tasks;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Can do regular reviews on codes done by less experienced developers and offer feedback a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nd suggestions for those codes;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Can independently solve various problems and rectify complicated problems through the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 xml:space="preserve"> application of design patterns; </w:t>
      </w:r>
      <w:r w:rsidRPr="0061199B">
        <w:rPr>
          <w:rFonts w:asciiTheme="majorHAnsi" w:hAnsiTheme="majorHAnsi" w:cstheme="minorHAnsi"/>
          <w:b w:val="0"/>
          <w:sz w:val="20"/>
          <w:szCs w:val="20"/>
          <w:shd w:val="clear" w:color="auto" w:fill="FDE9D9" w:themeFill="accent6" w:themeFillTint="33"/>
        </w:rPr>
        <w:t>Can create and write complicated tests.</w:t>
      </w:r>
    </w:p>
    <w:p w:rsidR="00960631" w:rsidRPr="00F93059" w:rsidRDefault="00C423CD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F93059">
        <w:rPr>
          <w:rFonts w:cstheme="minorHAnsi"/>
          <w:color w:val="000000" w:themeColor="text1"/>
          <w:spacing w:val="-1"/>
          <w:szCs w:val="20"/>
        </w:rPr>
        <w:t>Command of technology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Pr="00F93059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Django, SQLAlchemy, Luigi DAG pipeline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)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, analytics and data science libraries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NUMPY. SCIKIT-LEARN, TENSORFLOW, PYTORCH</w:t>
      </w:r>
      <w:r w:rsidR="00F93059">
        <w:rPr>
          <w:rFonts w:cstheme="minorHAnsi"/>
          <w:color w:val="000000" w:themeColor="text1"/>
          <w:spacing w:val="-1"/>
          <w:szCs w:val="20"/>
        </w:rPr>
        <w:t>),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 xml:space="preserve">anguage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Python, R, Javascript, SQL, C++, Java, C</w:t>
      </w:r>
      <w:r w:rsidR="00F93059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In-depth knowledge of data technology, including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CI/CD pipeline GitHub, Jenkins, Travis CI, AZURE DevOps (TFS), Docker, Kubernetes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Implementation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Microsoft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lastRenderedPageBreak/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404F6B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>a machine learning proof-of-concept for change management, using Microsoft LUIS to learn from evidences of testing, approval and 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lastRenderedPageBreak/>
        <w:t>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sectPr w:rsidR="00652B23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9B" w:rsidRDefault="0061199B" w:rsidP="0061199B">
      <w:r>
        <w:separator/>
      </w:r>
    </w:p>
  </w:endnote>
  <w:endnote w:type="continuationSeparator" w:id="0">
    <w:p w:rsidR="0061199B" w:rsidRDefault="0061199B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F70DDA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9B" w:rsidRDefault="0061199B" w:rsidP="0061199B">
      <w:r>
        <w:separator/>
      </w:r>
    </w:p>
  </w:footnote>
  <w:footnote w:type="continuationSeparator" w:id="0">
    <w:p w:rsidR="0061199B" w:rsidRDefault="0061199B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>HOANG VINH  NGUYEN</w:t>
    </w:r>
    <w:r w:rsidRPr="0061199B">
      <w:rPr>
        <w:sz w:val="20"/>
      </w:rPr>
      <w:t xml:space="preserve"> </w:t>
    </w:r>
    <w:r w:rsidRPr="0061199B">
      <w:rPr>
        <w:sz w:val="20"/>
      </w:rPr>
      <w:t>+1 (203) 726-1711  -  Nguyen_H_Vinh@yahoo.com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14C8"/>
    <w:rsid w:val="0056700C"/>
    <w:rsid w:val="005849F1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0DDA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492F-9E3D-4741-B218-9019D5B1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74</cp:revision>
  <cp:lastPrinted>2019-07-30T19:52:00Z</cp:lastPrinted>
  <dcterms:created xsi:type="dcterms:W3CDTF">2017-11-09T00:50:00Z</dcterms:created>
  <dcterms:modified xsi:type="dcterms:W3CDTF">2019-07-31T19:40:00Z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