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BB460" w14:textId="77777777"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14:paraId="718397CB" w14:textId="77777777"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14:paraId="60634D8A" w14:textId="35DFA74E"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</w:t>
      </w:r>
      <w:r w:rsidR="001D6141">
        <w:rPr>
          <w:rFonts w:asciiTheme="majorHAnsi" w:hAnsiTheme="majorHAnsi" w:cstheme="minorHAnsi"/>
          <w:spacing w:val="1"/>
          <w:sz w:val="20"/>
          <w:szCs w:val="20"/>
        </w:rPr>
        <w:t>, Security</w:t>
      </w:r>
      <w:bookmarkStart w:id="0" w:name="_GoBack"/>
      <w:bookmarkEnd w:id="0"/>
      <w:r w:rsidR="006227B7">
        <w:rPr>
          <w:rFonts w:asciiTheme="majorHAnsi" w:hAnsiTheme="majorHAnsi" w:cstheme="minorHAnsi"/>
          <w:spacing w:val="1"/>
          <w:sz w:val="20"/>
          <w:szCs w:val="20"/>
        </w:rPr>
        <w:t xml:space="preserve">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14:paraId="5CA29EA4" w14:textId="77777777"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14:paraId="65ACEEEA" w14:textId="77777777"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>IT auditor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>accountant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>of IT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program and application development/management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14:paraId="36567215" w14:textId="77777777"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IT Governance &amp; Regulation, Information Security Governance, 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Business Systems/Data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 and IT Service Management (ITSM)</w:t>
      </w:r>
    </w:p>
    <w:p w14:paraId="2D6358C3" w14:textId="77777777"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5750EF1B" w14:textId="77777777"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14:paraId="56F1B679" w14:textId="77777777"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14:paraId="11F22DBB" w14:textId="0FFCDD8F" w:rsidR="00960631" w:rsidRPr="0053307F" w:rsidRDefault="009560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Twice implemented internal controls for SOX from ground up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921F4">
        <w:rPr>
          <w:rFonts w:cstheme="minorHAnsi"/>
          <w:color w:val="000000" w:themeColor="text1"/>
          <w:spacing w:val="-1"/>
          <w:szCs w:val="20"/>
        </w:rPr>
        <w:t>based on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COSO</w:t>
      </w:r>
      <w:r w:rsidR="00C921F4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C921F4">
        <w:rPr>
          <w:rFonts w:cstheme="minorHAnsi"/>
          <w:color w:val="000000" w:themeColor="text1"/>
          <w:spacing w:val="-1"/>
          <w:szCs w:val="20"/>
        </w:rPr>
        <w:t>,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921F4">
        <w:rPr>
          <w:rFonts w:cstheme="minorHAnsi"/>
          <w:color w:val="000000" w:themeColor="text1"/>
          <w:spacing w:val="-1"/>
          <w:szCs w:val="20"/>
        </w:rPr>
        <w:t xml:space="preserve">CPA </w:t>
      </w:r>
      <w:r w:rsidR="00A42360">
        <w:rPr>
          <w:rFonts w:cstheme="minorHAnsi"/>
          <w:color w:val="000000" w:themeColor="text1"/>
          <w:spacing w:val="-1"/>
          <w:szCs w:val="20"/>
        </w:rPr>
        <w:t>Cyber Security</w:t>
      </w:r>
    </w:p>
    <w:p w14:paraId="12D11662" w14:textId="77777777"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14:paraId="7A5470F5" w14:textId="77777777"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14:paraId="147E7286" w14:textId="77777777"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14:paraId="51FC3A8C" w14:textId="77777777"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14:paraId="545EEBB8" w14:textId="77777777"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14:paraId="5885CA08" w14:textId="77777777"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14:paraId="1FA48D18" w14:textId="77777777"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14:paraId="20DCE26E" w14:textId="0BBDFEF6" w:rsidR="00956528" w:rsidRDefault="00960631" w:rsidP="00956528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)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Pr="00956528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14:paraId="56594C7A" w14:textId="7B5CCA0C" w:rsidR="00A42360" w:rsidRPr="00956528" w:rsidRDefault="004613FE" w:rsidP="00AC2CEF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Practitioner (PMI-ACP)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/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Prof</w:t>
      </w:r>
      <w:r w:rsidRPr="00956528"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3AD7D3AA" w14:textId="77777777"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14:paraId="34FDAC21" w14:textId="4B4F8407" w:rsidR="00315DF6" w:rsidRPr="00315DF6" w:rsidRDefault="00315DF6" w:rsidP="00315DF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E75DA6">
        <w:rPr>
          <w:rFonts w:cstheme="minorHAnsi"/>
          <w:color w:val="000000" w:themeColor="text1"/>
          <w:spacing w:val="-1"/>
          <w:szCs w:val="20"/>
        </w:rPr>
        <w:t xml:space="preserve">Graduate </w:t>
      </w:r>
      <w:r w:rsidRPr="00956528">
        <w:rPr>
          <w:rFonts w:cstheme="minorHAnsi"/>
          <w:color w:val="000000" w:themeColor="text1"/>
          <w:spacing w:val="-1"/>
          <w:szCs w:val="20"/>
        </w:rPr>
        <w:t>Data Science</w:t>
      </w:r>
      <w:r>
        <w:rPr>
          <w:rFonts w:cstheme="minorHAnsi"/>
          <w:color w:val="000000" w:themeColor="text1"/>
          <w:spacing w:val="-1"/>
          <w:szCs w:val="20"/>
        </w:rPr>
        <w:t>, completed credits: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/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Advanced Python (Harvard Extension School)</w:t>
      </w:r>
    </w:p>
    <w:p w14:paraId="04DFF774" w14:textId="77777777"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14:paraId="1F24D6B0" w14:textId="31C016BC" w:rsid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14:paraId="17EA8013" w14:textId="77777777"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</w:pPr>
    </w:p>
    <w:p w14:paraId="22F62B1B" w14:textId="77777777" w:rsidR="00315DF6" w:rsidRDefault="00315DF6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315DF6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14:paraId="1A401F1D" w14:textId="77777777"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14:paraId="28F65695" w14:textId="77777777"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14:paraId="0D644AB4" w14:textId="69579035" w:rsidR="00C0327B" w:rsidRDefault="0095652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Returned to AIG in an Audit Leadership/Transformation Role: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and procedures for 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B75A86">
        <w:rPr>
          <w:rFonts w:cstheme="minorHAnsi"/>
          <w:color w:val="000000" w:themeColor="text1"/>
          <w:spacing w:val="-1"/>
          <w:szCs w:val="20"/>
        </w:rPr>
        <w:t>IT audit scoping</w:t>
      </w:r>
      <w:r w:rsidR="00EA37E8">
        <w:rPr>
          <w:rFonts w:cstheme="minorHAnsi"/>
          <w:color w:val="000000" w:themeColor="text1"/>
          <w:spacing w:val="-1"/>
          <w:szCs w:val="20"/>
        </w:rPr>
        <w:t>,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planning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walkthroughs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 SSAE16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SOC 1-2 </w:t>
      </w:r>
      <w:r w:rsidR="005734AF">
        <w:rPr>
          <w:rFonts w:cstheme="minorHAnsi"/>
          <w:color w:val="000000" w:themeColor="text1"/>
          <w:spacing w:val="-1"/>
          <w:szCs w:val="20"/>
        </w:rPr>
        <w:t>reviews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2E4E">
        <w:rPr>
          <w:rFonts w:cstheme="minorHAnsi"/>
          <w:color w:val="000000" w:themeColor="text1"/>
          <w:spacing w:val="-1"/>
          <w:szCs w:val="20"/>
        </w:rPr>
        <w:t xml:space="preserve">standard-based </w:t>
      </w:r>
      <w:r w:rsidR="008C1E19">
        <w:rPr>
          <w:rFonts w:cstheme="minorHAnsi"/>
          <w:color w:val="000000" w:themeColor="text1"/>
          <w:spacing w:val="-1"/>
          <w:szCs w:val="20"/>
        </w:rPr>
        <w:t>approach</w:t>
      </w:r>
      <w:r w:rsidR="00DB2E4E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8C1E19">
        <w:rPr>
          <w:rFonts w:cstheme="minorHAnsi"/>
          <w:color w:val="000000" w:themeColor="text1"/>
          <w:spacing w:val="-1"/>
          <w:szCs w:val="20"/>
        </w:rPr>
        <w:t>to review junior auditors work papers</w:t>
      </w:r>
      <w:r w:rsidR="00062608">
        <w:rPr>
          <w:rFonts w:cstheme="minorHAnsi"/>
          <w:color w:val="000000" w:themeColor="text1"/>
          <w:spacing w:val="-1"/>
          <w:szCs w:val="20"/>
        </w:rPr>
        <w:t>/</w:t>
      </w:r>
      <w:r w:rsidR="008C1E19">
        <w:rPr>
          <w:rFonts w:cstheme="minorHAnsi"/>
          <w:color w:val="000000" w:themeColor="text1"/>
          <w:spacing w:val="-1"/>
          <w:szCs w:val="20"/>
        </w:rPr>
        <w:t xml:space="preserve"> audit points</w:t>
      </w:r>
      <w:r w:rsidR="00DB2E4E">
        <w:rPr>
          <w:rFonts w:cstheme="minorHAnsi"/>
          <w:color w:val="000000" w:themeColor="text1"/>
          <w:spacing w:val="-1"/>
          <w:szCs w:val="20"/>
        </w:rPr>
        <w:t xml:space="preserve">; and </w:t>
      </w:r>
      <w:r w:rsidR="00683AF2">
        <w:rPr>
          <w:rFonts w:cstheme="minorHAnsi"/>
          <w:color w:val="000000" w:themeColor="text1"/>
          <w:spacing w:val="-1"/>
          <w:szCs w:val="20"/>
        </w:rPr>
        <w:t>year-end a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ggregat</w:t>
      </w:r>
      <w:r w:rsidR="00683AF2">
        <w:rPr>
          <w:rFonts w:cstheme="minorHAnsi"/>
          <w:color w:val="000000" w:themeColor="text1"/>
          <w:spacing w:val="-1"/>
          <w:szCs w:val="20"/>
        </w:rPr>
        <w:t>ion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, analy</w:t>
      </w:r>
      <w:r w:rsidR="00683AF2">
        <w:rPr>
          <w:rFonts w:cstheme="minorHAnsi"/>
          <w:color w:val="000000" w:themeColor="text1"/>
          <w:spacing w:val="-1"/>
          <w:szCs w:val="20"/>
        </w:rPr>
        <w:t>sis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, reports </w:t>
      </w:r>
      <w:r w:rsidR="00683AF2">
        <w:rPr>
          <w:rFonts w:cstheme="minorHAnsi"/>
          <w:color w:val="000000" w:themeColor="text1"/>
          <w:spacing w:val="-1"/>
          <w:szCs w:val="20"/>
        </w:rPr>
        <w:t>of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 SOX results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significant control deficiencies</w:t>
      </w:r>
      <w:r w:rsidR="005734AF">
        <w:rPr>
          <w:rFonts w:cstheme="minorHAnsi"/>
          <w:color w:val="000000" w:themeColor="text1"/>
          <w:spacing w:val="-1"/>
          <w:szCs w:val="20"/>
        </w:rPr>
        <w:t>. Test results over design and operating effectiveness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734AF">
        <w:rPr>
          <w:rFonts w:cstheme="minorHAnsi"/>
          <w:color w:val="000000" w:themeColor="text1"/>
          <w:spacing w:val="-1"/>
          <w:szCs w:val="20"/>
        </w:rPr>
        <w:t>on AWS, mainframe, ORACLE and SQL Server are 100% reli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5734AF">
        <w:rPr>
          <w:rFonts w:cstheme="minorHAnsi"/>
          <w:color w:val="000000" w:themeColor="text1"/>
          <w:spacing w:val="-1"/>
          <w:szCs w:val="20"/>
        </w:rPr>
        <w:t>upon by the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external auditor</w:t>
      </w:r>
      <w:r w:rsidR="005734AF">
        <w:rPr>
          <w:rFonts w:cstheme="minorHAnsi"/>
          <w:color w:val="000000" w:themeColor="text1"/>
          <w:spacing w:val="-1"/>
          <w:szCs w:val="20"/>
        </w:rPr>
        <w:t>s for their end-of-year audit evaluation.</w:t>
      </w:r>
    </w:p>
    <w:p w14:paraId="5B92942F" w14:textId="2A295EA5" w:rsidR="00A1217E" w:rsidRPr="00683AF2" w:rsidRDefault="00A1217E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217E">
        <w:rPr>
          <w:rFonts w:cstheme="minorHAnsi"/>
          <w:color w:val="000000" w:themeColor="text1"/>
          <w:spacing w:val="-1"/>
          <w:szCs w:val="20"/>
        </w:rPr>
        <w:t>Championed AGILE (early, continuous</w:t>
      </w:r>
      <w:r w:rsidR="00522982">
        <w:rPr>
          <w:rFonts w:cstheme="minorHAnsi"/>
          <w:color w:val="000000" w:themeColor="text1"/>
          <w:spacing w:val="-1"/>
          <w:szCs w:val="20"/>
        </w:rPr>
        <w:t>,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full population) audit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A1217E">
        <w:rPr>
          <w:rFonts w:cstheme="minorHAnsi"/>
          <w:color w:val="000000" w:themeColor="text1"/>
          <w:spacing w:val="-1"/>
          <w:szCs w:val="20"/>
        </w:rPr>
        <w:t>automate</w:t>
      </w:r>
      <w:r w:rsidR="00683AF2">
        <w:rPr>
          <w:rFonts w:cstheme="minorHAnsi"/>
          <w:color w:val="000000" w:themeColor="text1"/>
          <w:spacing w:val="-1"/>
          <w:szCs w:val="20"/>
        </w:rPr>
        <w:t>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testing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683AF2">
        <w:rPr>
          <w:rFonts w:cstheme="minorHAnsi"/>
          <w:color w:val="000000" w:themeColor="text1"/>
          <w:spacing w:val="-1"/>
          <w:szCs w:val="20"/>
        </w:rPr>
        <w:t>deficiency detection</w:t>
      </w:r>
      <w:r w:rsidR="008C1E19">
        <w:rPr>
          <w:rFonts w:cstheme="minorHAnsi"/>
          <w:color w:val="000000" w:themeColor="text1"/>
          <w:spacing w:val="-1"/>
          <w:szCs w:val="20"/>
        </w:rPr>
        <w:t xml:space="preserve"> and frequent action-based recommendation to management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by leveraging IT </w:t>
      </w:r>
      <w:r w:rsidR="00522982">
        <w:rPr>
          <w:rFonts w:cstheme="minorHAnsi"/>
          <w:color w:val="000000" w:themeColor="text1"/>
          <w:spacing w:val="-1"/>
          <w:szCs w:val="20"/>
        </w:rPr>
        <w:t>c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ommon </w:t>
      </w:r>
      <w:r w:rsidR="00522982">
        <w:rPr>
          <w:rFonts w:cstheme="minorHAnsi"/>
          <w:color w:val="000000" w:themeColor="text1"/>
          <w:spacing w:val="-1"/>
          <w:szCs w:val="20"/>
        </w:rPr>
        <w:t>p</w:t>
      </w:r>
      <w:r w:rsidRPr="00A1217E">
        <w:rPr>
          <w:rFonts w:cstheme="minorHAnsi"/>
          <w:color w:val="000000" w:themeColor="text1"/>
          <w:spacing w:val="-1"/>
          <w:szCs w:val="20"/>
        </w:rPr>
        <w:t>rocesses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 for aggressive direct data ingestion and early analytics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; </w:t>
      </w:r>
      <w:r w:rsidR="00683AF2">
        <w:rPr>
          <w:rFonts w:cstheme="minorHAnsi"/>
          <w:color w:val="000000" w:themeColor="text1"/>
          <w:spacing w:val="-1"/>
          <w:szCs w:val="20"/>
        </w:rPr>
        <w:t>showcased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a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LUIS 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machine learning proof-of-concept to </w:t>
      </w:r>
      <w:r w:rsidR="00522982">
        <w:rPr>
          <w:rFonts w:cstheme="minorHAnsi"/>
          <w:color w:val="000000" w:themeColor="text1"/>
          <w:spacing w:val="-1"/>
          <w:szCs w:val="20"/>
        </w:rPr>
        <w:t>test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compliance on 100% of population of changes</w:t>
      </w:r>
    </w:p>
    <w:p w14:paraId="214BC324" w14:textId="77777777" w:rsidR="00A1217E" w:rsidRPr="00683AF2" w:rsidRDefault="00B75A86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Partnered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provided SOX guidance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strategic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programs from business case development to execution and internal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control design: migration to CLEARWATER investment accounting/risk reporting, SAP-HANA EP, ARIBA, FIELDGLASS, BLUEPRISM/PEGA RPA, APPIAN Treasury Workflow, CI/CD AZURE TFS, SONIC, SAILPOINT, SPLUNK</w:t>
      </w:r>
    </w:p>
    <w:p w14:paraId="7289FD6A" w14:textId="77777777"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14:paraId="32CBB455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14:paraId="4BD1FF37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14:paraId="73D5064F" w14:textId="1C9C20E2" w:rsidR="00970F57" w:rsidRPr="007D35D6" w:rsidRDefault="00E75DA6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ANAGER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PMO </w:t>
      </w:r>
      <w:r w:rsidR="00970F5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="00970F57"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="00970F57"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970F57"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="00970F57"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14:paraId="4E5FE97A" w14:textId="615B2666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12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change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requests in </w:t>
      </w:r>
      <w:r w:rsidR="00472997">
        <w:rPr>
          <w:rFonts w:cstheme="minorHAnsi"/>
          <w:color w:val="000000" w:themeColor="text1"/>
          <w:spacing w:val="-1"/>
          <w:szCs w:val="20"/>
        </w:rPr>
        <w:t>transaction monitoring for AML (Anti-Money Laundering)/ ATF (Anti-Terrorist Financing)</w:t>
      </w:r>
      <w:r w:rsidRPr="0053307F">
        <w:rPr>
          <w:rFonts w:cstheme="minorHAnsi"/>
          <w:color w:val="000000" w:themeColor="text1"/>
          <w:spacing w:val="-1"/>
          <w:szCs w:val="20"/>
        </w:rPr>
        <w:t>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risk)</w:t>
      </w:r>
    </w:p>
    <w:p w14:paraId="508CD2FF" w14:textId="77777777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14:paraId="44C7DD9F" w14:textId="77777777" w:rsidR="00EE74F2" w:rsidRPr="007D35D6" w:rsidRDefault="00EE74F2" w:rsidP="00EE74F2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IT CONTROL &amp; COMPLIANCE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14:paraId="428DEA76" w14:textId="77777777" w:rsidR="00EE74F2" w:rsidRDefault="00EE74F2" w:rsidP="00EE74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Performed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>
        <w:rPr>
          <w:rFonts w:cstheme="minorHAnsi"/>
          <w:color w:val="000000" w:themeColor="text1"/>
          <w:spacing w:val="-1"/>
          <w:szCs w:val="20"/>
        </w:rPr>
        <w:t>annual SOX certifications: audi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>
        <w:rPr>
          <w:rFonts w:cstheme="minorHAnsi"/>
          <w:color w:val="000000" w:themeColor="text1"/>
          <w:spacing w:val="-1"/>
          <w:szCs w:val="20"/>
        </w:rPr>
        <w:t xml:space="preserve">the design and operating effectiveness of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 for ITGC (</w:t>
      </w:r>
      <w:r>
        <w:rPr>
          <w:rFonts w:cstheme="minorHAnsi"/>
          <w:color w:val="000000" w:themeColor="text1"/>
          <w:spacing w:val="-1"/>
          <w:szCs w:val="20"/>
        </w:rPr>
        <w:t>g</w:t>
      </w:r>
      <w:r w:rsidRPr="0053307F">
        <w:rPr>
          <w:rFonts w:cstheme="minorHAnsi"/>
          <w:color w:val="000000" w:themeColor="text1"/>
          <w:spacing w:val="-1"/>
          <w:szCs w:val="20"/>
        </w:rPr>
        <w:t>overnance, WAN/LAN, virtualization, firewall, database, middleware, security monitoring, application, help desk) plus financial reporting controls in JD Edwards G/L, A/P and A/R, fixed assets, procurement, HR</w:t>
      </w:r>
      <w:r>
        <w:rPr>
          <w:rFonts w:cstheme="minorHAnsi"/>
          <w:color w:val="000000" w:themeColor="text1"/>
          <w:spacing w:val="-1"/>
          <w:szCs w:val="20"/>
        </w:rPr>
        <w:t xml:space="preserve"> 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14:paraId="45876D22" w14:textId="77777777"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14:paraId="77728BC9" w14:textId="399296E6"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F44BB9">
        <w:rPr>
          <w:rFonts w:cstheme="minorHAnsi"/>
          <w:color w:val="000000" w:themeColor="text1"/>
          <w:spacing w:val="-1"/>
          <w:szCs w:val="20"/>
        </w:rPr>
        <w:t>for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</w:p>
    <w:p w14:paraId="0069A771" w14:textId="77777777"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14:paraId="7049529E" w14:textId="77777777" w:rsidR="00285F3D" w:rsidRPr="007D35D6" w:rsidRDefault="003F6BE3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MANAGER </w:t>
      </w:r>
      <w:r w:rsidR="00472997">
        <w:rPr>
          <w:rFonts w:asciiTheme="majorHAnsi" w:hAnsiTheme="majorHAnsi" w:cstheme="minorHAnsi"/>
          <w:sz w:val="20"/>
          <w:szCs w:val="20"/>
        </w:rPr>
        <w:t xml:space="preserve">PMO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| CIBC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="00DB7A07"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472997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–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="00DB7A07"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14:paraId="47F37CEC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14:paraId="630C45D2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14:paraId="68DF6C31" w14:textId="77777777"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14:paraId="5E468B03" w14:textId="77777777"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14:paraId="534FCB8E" w14:textId="64658A5D" w:rsidR="00863C10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14:paraId="4A387BB7" w14:textId="77777777" w:rsidR="00E75DA6" w:rsidRPr="007D35D6" w:rsidRDefault="00E75DA6" w:rsidP="00E75DA6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IT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14:paraId="73EEFE28" w14:textId="77777777" w:rsidR="00E75DA6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expanded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(CSA) system</w:t>
      </w:r>
    </w:p>
    <w:p w14:paraId="32994D34" w14:textId="77777777" w:rsidR="00E75DA6" w:rsidRPr="009446F8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14:paraId="3740DBC8" w14:textId="77777777"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14:paraId="4E3C4F4A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14:paraId="7ABA963B" w14:textId="77777777"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14:paraId="63225928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14:paraId="37C339F6" w14:textId="77777777"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14:paraId="57935175" w14:textId="77777777"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14:paraId="49A8CD18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14:paraId="6BD0F885" w14:textId="77777777"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14:paraId="4ADAE83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14:paraId="4B0CA24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14:paraId="5B42BFD0" w14:textId="77777777"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14:paraId="2AC57C7C" w14:textId="2EB82020" w:rsidR="00104FC4" w:rsidRPr="0053307F" w:rsidRDefault="00956528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English, </w:t>
      </w:r>
      <w:r w:rsidR="00104FC4"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CC1D1" w14:textId="77777777" w:rsidR="00291A71" w:rsidRDefault="00291A71" w:rsidP="0061199B">
      <w:r>
        <w:separator/>
      </w:r>
    </w:p>
  </w:endnote>
  <w:endnote w:type="continuationSeparator" w:id="0">
    <w:p w14:paraId="158753E5" w14:textId="77777777" w:rsidR="00291A71" w:rsidRDefault="00291A71" w:rsidP="0061199B">
      <w:r>
        <w:continuationSeparator/>
      </w:r>
    </w:p>
  </w:endnote>
  <w:endnote w:type="continuationNotice" w:id="1">
    <w:p w14:paraId="30C9B5BA" w14:textId="77777777" w:rsidR="009560FE" w:rsidRDefault="009560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0A0D958F" w14:textId="77777777"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1D6141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462F5349" w14:textId="77777777"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D21CC" w14:textId="77777777" w:rsidR="00291A71" w:rsidRDefault="00291A71" w:rsidP="0061199B">
      <w:r>
        <w:separator/>
      </w:r>
    </w:p>
  </w:footnote>
  <w:footnote w:type="continuationSeparator" w:id="0">
    <w:p w14:paraId="4938ED22" w14:textId="77777777" w:rsidR="00291A71" w:rsidRDefault="00291A71" w:rsidP="0061199B">
      <w:r>
        <w:continuationSeparator/>
      </w:r>
    </w:p>
  </w:footnote>
  <w:footnote w:type="continuationNotice" w:id="1">
    <w:p w14:paraId="1CF62C80" w14:textId="77777777" w:rsidR="009560FE" w:rsidRDefault="009560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D8CD0" w14:textId="77777777"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70C7798"/>
    <w:multiLevelType w:val="hybridMultilevel"/>
    <w:tmpl w:val="B31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62608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5B7C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6141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91A71"/>
    <w:rsid w:val="002A2FD9"/>
    <w:rsid w:val="00315DF6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72997"/>
    <w:rsid w:val="00495D37"/>
    <w:rsid w:val="004A7AF7"/>
    <w:rsid w:val="004A7CC5"/>
    <w:rsid w:val="004C69A9"/>
    <w:rsid w:val="004D0C74"/>
    <w:rsid w:val="004F3A5D"/>
    <w:rsid w:val="004F735F"/>
    <w:rsid w:val="00522982"/>
    <w:rsid w:val="00524976"/>
    <w:rsid w:val="0053307F"/>
    <w:rsid w:val="00550AA3"/>
    <w:rsid w:val="005514C8"/>
    <w:rsid w:val="0056700C"/>
    <w:rsid w:val="005734AF"/>
    <w:rsid w:val="00575054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83AF2"/>
    <w:rsid w:val="006A5A39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C1E19"/>
    <w:rsid w:val="008F594B"/>
    <w:rsid w:val="00930B20"/>
    <w:rsid w:val="0094094F"/>
    <w:rsid w:val="0094107F"/>
    <w:rsid w:val="009446F8"/>
    <w:rsid w:val="00953F06"/>
    <w:rsid w:val="009560FE"/>
    <w:rsid w:val="00956528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217E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75A86"/>
    <w:rsid w:val="00B96BC6"/>
    <w:rsid w:val="00BB0B20"/>
    <w:rsid w:val="00BB304F"/>
    <w:rsid w:val="00C0327B"/>
    <w:rsid w:val="00C11815"/>
    <w:rsid w:val="00C233CA"/>
    <w:rsid w:val="00C341E4"/>
    <w:rsid w:val="00C423CD"/>
    <w:rsid w:val="00C43626"/>
    <w:rsid w:val="00C446A7"/>
    <w:rsid w:val="00C50989"/>
    <w:rsid w:val="00C921F4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2E4E"/>
    <w:rsid w:val="00DB7A07"/>
    <w:rsid w:val="00DC2A7C"/>
    <w:rsid w:val="00DD2DE9"/>
    <w:rsid w:val="00DD79A9"/>
    <w:rsid w:val="00DE5525"/>
    <w:rsid w:val="00DE6448"/>
    <w:rsid w:val="00E408E7"/>
    <w:rsid w:val="00E51F13"/>
    <w:rsid w:val="00E75DA6"/>
    <w:rsid w:val="00E768C2"/>
    <w:rsid w:val="00E77AEC"/>
    <w:rsid w:val="00E83AF2"/>
    <w:rsid w:val="00E8425E"/>
    <w:rsid w:val="00EA37E8"/>
    <w:rsid w:val="00EB58FB"/>
    <w:rsid w:val="00EE74F2"/>
    <w:rsid w:val="00F007ED"/>
    <w:rsid w:val="00F157EC"/>
    <w:rsid w:val="00F44BB9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ECA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560FE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81186-C313-4F5E-B440-E9867F17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102</cp:revision>
  <cp:lastPrinted>2019-08-11T17:26:00Z</cp:lastPrinted>
  <dcterms:created xsi:type="dcterms:W3CDTF">2017-11-09T00:50:00Z</dcterms:created>
  <dcterms:modified xsi:type="dcterms:W3CDTF">2019-09-18T18:56:00Z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