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b/>
          <w:color w:val="000000"/>
          <w:sz w:val="48"/>
        </w:rPr>
        <w:t>OpenClaw 学术洞察报告</w:t>
      </w:r>
    </w:p>
    <w:p>
      <w:pPr>
        <w:ind w:firstLine="440"/>
      </w:pPr>
      <w:r>
        <w:rPr>
          <w:rFonts w:ascii="Microsoft YaHei" w:hAnsi="Microsoft YaHei" w:eastAsia="Microsoft YaHei"/>
          <w:b w:val="0"/>
          <w:color w:val="000000"/>
          <w:sz w:val="22"/>
        </w:rPr>
        <w:t>本报告汇总 OpenClaw 的公开生态表现、授权方式与部署特征，供内部技术评估使用。</w:t>
      </w:r>
    </w:p>
    <w:p>
      <w:pPr>
        <w:pStyle w:val="Heading1"/>
      </w:pPr>
      <w:r>
        <w:t>执行摘要</w:t>
      </w:r>
    </w:p>
    <w:p>
      <w:pPr>
        <w:ind w:firstLine="440"/>
      </w:pPr>
      <w:r>
        <w:rPr>
          <w:rFonts w:ascii="Microsoft YaHei" w:hAnsi="Microsoft YaHei" w:eastAsia="Microsoft YaHei"/>
          <w:b w:val="0"/>
          <w:color w:val="000000"/>
          <w:sz w:val="22"/>
        </w:rPr>
        <w:t>截至样例观察日，OpenClaw 代码仓库累计获得 12,480 GitHub Stars，社区讨论主要围绕本地智能体编排、工具扩展和私有部署。该项目采用 MIT 许可证，为团队开展原型验证和二次开发提供了较低的许可门槛。</w:t>
      </w:r>
    </w:p>
    <w:p>
      <w:pPr>
        <w:ind w:firstLine="440"/>
      </w:pPr>
      <w:r>
        <w:rPr>
          <w:rFonts w:ascii="Microsoft YaHei" w:hAnsi="Microsoft YaHei" w:eastAsia="Microsoft YaHei"/>
          <w:b w:val="0"/>
          <w:color w:val="000000"/>
          <w:sz w:val="22"/>
        </w:rPr>
        <w:t>行业采用方面，OpenClaw 支持自托管，便于在受控网络中部署。部分主流云厂商已提供兼容运行环境或社区部署模板，但具体服务等级、区域覆盖和维护责任仍需逐项核实。</w:t>
      </w:r>
    </w:p>
    <w:p>
      <w:pPr>
        <w:pStyle w:val="Heading1"/>
      </w:pPr>
      <w:r>
        <w:t>核心能力</w:t>
      </w:r>
    </w:p>
    <w:p>
      <w:pPr>
        <w:ind w:firstLine="440"/>
      </w:pPr>
      <w:r>
        <w:rPr>
          <w:rFonts w:ascii="Microsoft YaHei" w:hAnsi="Microsoft YaHei" w:eastAsia="Microsoft YaHei"/>
          <w:b w:val="0"/>
          <w:color w:val="000000"/>
          <w:sz w:val="22"/>
        </w:rPr>
        <w:t>项目把模型调用、工具执行和会话管理拆分为可替换模块。团队可根据安全要求选择本地模型或受管模型，并通过明确的工具接口控制文件和网络访问。</w:t>
      </w:r>
    </w:p>
    <w:p>
      <w:pPr>
        <w:pStyle w:val="Heading1"/>
      </w:pPr>
      <w:r>
        <w:t>部署观察</w:t>
      </w:r>
    </w:p>
    <w:p>
      <w:pPr>
        <w:ind w:firstLine="440"/>
      </w:pPr>
      <w:r>
        <w:rPr>
          <w:rFonts w:ascii="Microsoft YaHei" w:hAnsi="Microsoft YaHei" w:eastAsia="Microsoft YaHei"/>
          <w:b w:val="0"/>
          <w:color w:val="000000"/>
          <w:sz w:val="22"/>
        </w:rPr>
        <w:t>试运行应记录运行时版本、模型端点、权限策略和工具清单。生产环境还需验证代理、证书、日志脱敏和异常终止后的资源清理。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