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6DB1022E" w:rsidR="00B91534" w:rsidRDefault="00FA647F" w:rsidP="008150A5">
      <w:pPr>
        <w:rPr>
          <w:b/>
          <w:bCs/>
        </w:rPr>
      </w:pPr>
      <w:r>
        <w:rPr>
          <w:b/>
          <w:bCs/>
          <w:noProof/>
        </w:rPr>
        <w:drawing>
          <wp:inline distT="0" distB="0" distL="0" distR="0" wp14:anchorId="568A645E" wp14:editId="216EA2F1">
            <wp:extent cx="4181475" cy="2603037"/>
            <wp:effectExtent l="19050" t="19050" r="9525" b="26035"/>
            <wp:docPr id="715873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943" cy="2605196"/>
                    </a:xfrm>
                    <a:prstGeom prst="rect">
                      <a:avLst/>
                    </a:prstGeom>
                    <a:noFill/>
                    <a:ln>
                      <a:solidFill>
                        <a:schemeClr val="accent1"/>
                      </a:solid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w:t>
      </w:r>
      <w:r>
        <w:lastRenderedPageBreak/>
        <w:t xml:space="preserve">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For reference, provider codes runs in the NI.LV.MxLvProvider instance.  Elements of the provider API that are intended to run in that instance have a “mxLv”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lastRenderedPageBreak/>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Message Rescripter</w:t>
      </w:r>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Message Rescripter</w:t>
      </w:r>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Actor.lvlib</w:t>
            </w:r>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 Interface.lvlib</w:t>
            </w:r>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Maker Provider.lvlib</w:t>
            </w:r>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 Message Maker Provider.lvlib</w:t>
            </w:r>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Message Rescripter</w:t>
            </w:r>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Rescripter.lvlib</w:t>
            </w:r>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Message Maker.lvlib</w:t>
      </w:r>
      <w:r>
        <w:t xml:space="preserve"> contains most of the VI Scripting code that actually creates messages.  </w:t>
      </w:r>
      <w:r>
        <w:rPr>
          <w:b/>
          <w:bCs/>
        </w:rPr>
        <w:t xml:space="preserve">AFPP Shared.lvlib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Actor.lvclass.  The VI returns TRUE only if a child of Actor.lvclass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Add Actor.lvlib:Localized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r>
        <w:rPr>
          <w:b/>
          <w:bCs/>
        </w:rPr>
        <w:t>CreateNewWizard_Invoke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Interface.lvlib relies on scripting code contained in Add Actor.lvlib, but Add Actor.lvlib:CreateNewWizard_Invoke Core.vi invokes a VI contained in Add Actor Interface.lvlib.  This creates a circular dependency that should be broken at some point in the future.  Since the two providers are so similar, it may make the most sense to create a separate library that contains all the scripting code used by both providers, in the way that Message Maker.lvlib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Message Maker Provider, Actor Message Maker Provider, and Message Rescripter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0CE78FD9" w14:textId="13121FB8" w:rsidR="00CE6FDD" w:rsidRDefault="00CE6FDD" w:rsidP="00CE6FDD">
      <w:r w:rsidRPr="00CE6FDD">
        <w:t xml:space="preserve">When you right click on a project item, LabVIEW finds all the providers that support the item’s type.  For each such provider, LabVIEW invokes the </w:t>
      </w:r>
      <w:r>
        <w:t xml:space="preserve">VI </w:t>
      </w:r>
      <w:r w:rsidRPr="00CE6FDD">
        <w:rPr>
          <w:b/>
          <w:bCs/>
        </w:rPr>
        <w:t>Item_OnPopu</w:t>
      </w:r>
      <w:r w:rsidR="00C939DC">
        <w:rPr>
          <w:b/>
          <w:bCs/>
        </w:rPr>
        <w:t>p</w:t>
      </w:r>
      <w:r w:rsidRPr="00CE6FDD">
        <w:rPr>
          <w:b/>
          <w:bCs/>
        </w:rPr>
        <w:t>Menu.vi</w:t>
      </w:r>
      <w:r w:rsidRPr="00CE6FDD">
        <w:t>, which adds items to the popup menu.</w:t>
      </w:r>
    </w:p>
    <w:p w14:paraId="36B6FBA6" w14:textId="65F925C8" w:rsidR="00E41C07" w:rsidRPr="00E41C07" w:rsidRDefault="00E41C07" w:rsidP="00CE6FDD">
      <w:r>
        <w:t xml:space="preserve">Since Message Maker Provider and Actor Message Maker Provider can act on several project items when activated, they also provide versions of </w:t>
      </w:r>
      <w:r>
        <w:rPr>
          <w:b/>
          <w:bCs/>
        </w:rPr>
        <w:t>Provider_OnPopupMenu.vi</w:t>
      </w:r>
      <w:r>
        <w:t>.  These VIs work in much the same way as their respective Item_OnPopupMenu VIs, but they provide slightly different menu options.</w:t>
      </w:r>
    </w:p>
    <w:p w14:paraId="69F9811A" w14:textId="61C099C8" w:rsidR="00CE6FDD" w:rsidRPr="00CE6FDD" w:rsidRDefault="00CE6FDD" w:rsidP="00CE6FDD">
      <w:r>
        <w:t>Since actors are just LabVIEW classes, and actor methods are just VIs, actor framework providers must perform additional validation on the selected project item, to ensure they are actor framework artifacts.</w:t>
      </w:r>
    </w:p>
    <w:p w14:paraId="34932927" w14:textId="1D195673" w:rsidR="00CE6FDD" w:rsidRDefault="00C939DC" w:rsidP="008150A5">
      <w:r>
        <w:t xml:space="preserve">This diagram, taken from </w:t>
      </w:r>
      <w:r>
        <w:rPr>
          <w:b/>
          <w:bCs/>
        </w:rPr>
        <w:t>Message Maker Provider.lvlib:Item_OnPopupMenu.vi</w:t>
      </w:r>
      <w:r>
        <w:t>, is typical:</w:t>
      </w:r>
    </w:p>
    <w:p w14:paraId="1DA4EA5B" w14:textId="5A1DECB9" w:rsidR="00C939DC" w:rsidRDefault="00C939DC" w:rsidP="008150A5">
      <w:r>
        <w:rPr>
          <w:noProof/>
        </w:rPr>
        <w:drawing>
          <wp:inline distT="0" distB="0" distL="0" distR="0" wp14:anchorId="4E5F6F06" wp14:editId="071F1D5B">
            <wp:extent cx="2771775" cy="1927978"/>
            <wp:effectExtent l="0" t="0" r="0" b="0"/>
            <wp:docPr id="8024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365" cy="1939518"/>
                    </a:xfrm>
                    <a:prstGeom prst="rect">
                      <a:avLst/>
                    </a:prstGeom>
                    <a:noFill/>
                    <a:ln>
                      <a:noFill/>
                    </a:ln>
                  </pic:spPr>
                </pic:pic>
              </a:graphicData>
            </a:graphic>
          </wp:inline>
        </w:drawing>
      </w:r>
    </w:p>
    <w:p w14:paraId="158BC9D1" w14:textId="2EC8D9D8" w:rsidR="003A0280" w:rsidRDefault="00C939DC" w:rsidP="008150A5">
      <w:r>
        <w:lastRenderedPageBreak/>
        <w:t xml:space="preserve">OnPopupMenu.vi uses the provider framework API to obtain a reference to the project item.  It passes this reference to an item validation VI, which </w:t>
      </w:r>
      <w:r w:rsidR="000F4716">
        <w:t>indicates whether the provider should</w:t>
      </w:r>
      <w:r>
        <w:t xml:space="preserve"> add </w:t>
      </w:r>
      <w:r w:rsidR="000F4716">
        <w:t xml:space="preserve">choices </w:t>
      </w:r>
      <w:r>
        <w:t xml:space="preserve">to the right-click menu.  Since each provider targets a different project item type, they each use a different </w:t>
      </w:r>
      <w:r w:rsidR="003A0280">
        <w:t>validation VI.  As of this writing, each validation VI is found in its respective provider’s library.</w:t>
      </w:r>
    </w:p>
    <w:p w14:paraId="5EFBAC68" w14:textId="43D02B44" w:rsidR="000F4716" w:rsidRPr="000F4716" w:rsidRDefault="000F4716" w:rsidP="008150A5">
      <w:r>
        <w:rPr>
          <w:b/>
          <w:bCs/>
        </w:rPr>
        <w:t>Note:</w:t>
      </w:r>
      <w:r>
        <w:t xml:space="preserve">  OnPopupMenu.vi is invoked when the user right-clicks on a project item, and must complete before the right-click menu is displayed.  Furthermore, LabVIEW invokes OnPopupMenu.vi for </w:t>
      </w:r>
      <w:r>
        <w:rPr>
          <w:i/>
          <w:iCs/>
        </w:rPr>
        <w:t>every</w:t>
      </w:r>
      <w:r>
        <w:t xml:space="preserve"> provider associated with that project item type.  For this reason, it is </w:t>
      </w:r>
      <w:r>
        <w:rPr>
          <w:i/>
          <w:iCs/>
        </w:rPr>
        <w:t>imperative</w:t>
      </w:r>
      <w:r>
        <w:t xml:space="preserve"> that any operation performed in an OnPopupMenu.vi execute quickly.  The total execution time for all OnPopupMenu VIs for the target item should be less than 100 ms. </w:t>
      </w:r>
    </w:p>
    <w:p w14:paraId="32C23385" w14:textId="01D7B4EB" w:rsidR="003A0280" w:rsidRDefault="003A0280" w:rsidP="008150A5">
      <w:r>
        <w:rPr>
          <w:noProof/>
        </w:rPr>
        <w:drawing>
          <wp:inline distT="0" distB="0" distL="0" distR="0" wp14:anchorId="4B4439DE" wp14:editId="136CD0B8">
            <wp:extent cx="1543050" cy="466725"/>
            <wp:effectExtent l="0" t="0" r="0" b="9525"/>
            <wp:docPr id="17211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564" name=""/>
                    <pic:cNvPicPr/>
                  </pic:nvPicPr>
                  <pic:blipFill>
                    <a:blip r:embed="rId16"/>
                    <a:stretch>
                      <a:fillRect/>
                    </a:stretch>
                  </pic:blipFill>
                  <pic:spPr>
                    <a:xfrm>
                      <a:off x="0" y="0"/>
                      <a:ext cx="1543050" cy="466725"/>
                    </a:xfrm>
                    <a:prstGeom prst="rect">
                      <a:avLst/>
                    </a:prstGeom>
                  </pic:spPr>
                </pic:pic>
              </a:graphicData>
            </a:graphic>
          </wp:inline>
        </w:drawing>
      </w:r>
    </w:p>
    <w:p w14:paraId="1FC166EA" w14:textId="51310382" w:rsidR="003A0280" w:rsidRDefault="003A0280" w:rsidP="008150A5">
      <w:r>
        <w:t xml:space="preserve">Message Maker Provider invokes </w:t>
      </w:r>
      <w:r>
        <w:rPr>
          <w:b/>
          <w:bCs/>
        </w:rPr>
        <w:t>Is Actor Public Method.vi</w:t>
      </w:r>
      <w:r w:rsidR="000303D0">
        <w:t>, which, as its name implies, returns true if the selected project item is a public method of a class that inherits from Actor.lvclass</w:t>
      </w:r>
    </w:p>
    <w:p w14:paraId="4DEC4CBE" w14:textId="45FC8386" w:rsidR="00F60B51" w:rsidRDefault="00355996" w:rsidP="008150A5">
      <w:r>
        <w:t>This VI contains scripting nodes that are private to NI, so it is password-protected.</w:t>
      </w:r>
    </w:p>
    <w:p w14:paraId="6FD4F232" w14:textId="7D8F48A6" w:rsidR="00355996" w:rsidRDefault="00355996" w:rsidP="008150A5">
      <w:r>
        <w:rPr>
          <w:noProof/>
        </w:rPr>
        <w:drawing>
          <wp:inline distT="0" distB="0" distL="0" distR="0" wp14:anchorId="7CE300C9" wp14:editId="2BA22238">
            <wp:extent cx="1533525" cy="466725"/>
            <wp:effectExtent l="0" t="0" r="9525" b="9525"/>
            <wp:docPr id="9374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3006" name=""/>
                    <pic:cNvPicPr/>
                  </pic:nvPicPr>
                  <pic:blipFill>
                    <a:blip r:embed="rId17"/>
                    <a:stretch>
                      <a:fillRect/>
                    </a:stretch>
                  </pic:blipFill>
                  <pic:spPr>
                    <a:xfrm>
                      <a:off x="0" y="0"/>
                      <a:ext cx="1533525" cy="466725"/>
                    </a:xfrm>
                    <a:prstGeom prst="rect">
                      <a:avLst/>
                    </a:prstGeom>
                  </pic:spPr>
                </pic:pic>
              </a:graphicData>
            </a:graphic>
          </wp:inline>
        </w:drawing>
      </w:r>
    </w:p>
    <w:p w14:paraId="78AF769A" w14:textId="6F5ACB9F" w:rsidR="00355996" w:rsidRDefault="00355996" w:rsidP="008150A5">
      <w:r>
        <w:t xml:space="preserve">Since it acts on actors and actor interfaces, Actor Message Maker Provider invokes </w:t>
      </w:r>
      <w:r>
        <w:rPr>
          <w:b/>
          <w:bCs/>
        </w:rPr>
        <w:t>Is Actor.vi</w:t>
      </w:r>
      <w:r>
        <w:t>.  This VI will determine if the project item is an actor or an actor interface, and if it has public methods</w:t>
      </w:r>
      <w:r w:rsidR="00AC3F52">
        <w:t>.</w:t>
      </w:r>
    </w:p>
    <w:p w14:paraId="35FA3E59" w14:textId="686D61BB" w:rsidR="00AC3F52" w:rsidRDefault="00AC3F52" w:rsidP="008150A5">
      <w:r>
        <w:rPr>
          <w:noProof/>
        </w:rPr>
        <w:drawing>
          <wp:inline distT="0" distB="0" distL="0" distR="0" wp14:anchorId="474B3F50" wp14:editId="2CC8CDFC">
            <wp:extent cx="1457325" cy="466725"/>
            <wp:effectExtent l="0" t="0" r="9525" b="9525"/>
            <wp:docPr id="1191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99" name=""/>
                    <pic:cNvPicPr/>
                  </pic:nvPicPr>
                  <pic:blipFill>
                    <a:blip r:embed="rId18"/>
                    <a:stretch>
                      <a:fillRect/>
                    </a:stretch>
                  </pic:blipFill>
                  <pic:spPr>
                    <a:xfrm>
                      <a:off x="0" y="0"/>
                      <a:ext cx="1457325" cy="466725"/>
                    </a:xfrm>
                    <a:prstGeom prst="rect">
                      <a:avLst/>
                    </a:prstGeom>
                  </pic:spPr>
                </pic:pic>
              </a:graphicData>
            </a:graphic>
          </wp:inline>
        </w:drawing>
      </w:r>
    </w:p>
    <w:p w14:paraId="10B22886" w14:textId="593C3D5F" w:rsidR="00AC3F52" w:rsidRDefault="00AC3F52" w:rsidP="008150A5">
      <w:r>
        <w:t xml:space="preserve">Message Rescripter operates on messages, so it validates project items by invoking </w:t>
      </w:r>
      <w:r>
        <w:rPr>
          <w:b/>
          <w:bCs/>
        </w:rPr>
        <w:t>Is Message.vi</w:t>
      </w:r>
      <w:r>
        <w:t>, which returns true if the project item inherits from Message.lvclass.</w:t>
      </w:r>
    </w:p>
    <w:p w14:paraId="22C74F21" w14:textId="7D69B6CA" w:rsidR="00532592" w:rsidRDefault="00532592" w:rsidP="008150A5">
      <w:r>
        <w:t>These VIs are invoked again in message creation (see below).</w:t>
      </w:r>
    </w:p>
    <w:p w14:paraId="31B12C57" w14:textId="3AC40732" w:rsidR="00AC3F52" w:rsidRDefault="00A00C4F" w:rsidP="008150A5">
      <w:r>
        <w:t>Is Actor Public Method and Is Actor</w:t>
      </w:r>
      <w:r w:rsidR="00AC3F52">
        <w:t xml:space="preserve"> can validate by checking to see if</w:t>
      </w:r>
      <w:r w:rsidR="00532592">
        <w:t xml:space="preserve"> the item or</w:t>
      </w:r>
      <w:r w:rsidR="00AC3F52">
        <w:t xml:space="preserve"> its owner is an actor library, or if its owner has been tagged with the path to an Actor Framework PPL.</w:t>
      </w:r>
      <w:r w:rsidR="000F4716">
        <w:t xml:space="preserve">  </w:t>
      </w:r>
      <w:r>
        <w:t xml:space="preserve">(Is Message ignores this input.)  </w:t>
      </w:r>
      <w:r w:rsidR="000F4716">
        <w:t>Tags are metadata that can be associated with a project item through scripting; they can be of any data type</w:t>
      </w:r>
      <w:r w:rsidR="00532592">
        <w:t>.</w:t>
      </w:r>
      <w:r>
        <w:t xml:space="preserve">  In the provider suite, when an actor or message inherits from a class in a PPL, the actor gets tagged with the path to the PPL.</w:t>
      </w:r>
      <w:r w:rsidR="00C23D36">
        <w:t xml:space="preserve">  Accessing a tag is a single scripting call, which is much faster than searching for a PPL.  The tags are used during message creation, and offer a small performance improvement.</w:t>
      </w:r>
    </w:p>
    <w:p w14:paraId="09C9B182" w14:textId="6C8676F6" w:rsidR="004A0C6B" w:rsidRDefault="004A0C6B" w:rsidP="008150A5">
      <w:r>
        <w:t>Shown here are the nodes to get and set a target item’s tag.  The set example is the code used by the provider.</w:t>
      </w:r>
    </w:p>
    <w:p w14:paraId="72C5793C" w14:textId="77777777" w:rsidR="004A0C6B" w:rsidRDefault="004A0C6B" w:rsidP="008150A5">
      <w:r w:rsidRPr="004A0C6B">
        <w:rPr>
          <w:noProof/>
        </w:rPr>
        <w:lastRenderedPageBreak/>
        <w:drawing>
          <wp:inline distT="0" distB="0" distL="0" distR="0" wp14:anchorId="202E0924" wp14:editId="21216786">
            <wp:extent cx="2581275" cy="1153111"/>
            <wp:effectExtent l="0" t="0" r="0" b="9525"/>
            <wp:docPr id="291010952" name="Picture 3">
              <a:extLst xmlns:a="http://schemas.openxmlformats.org/drawingml/2006/main">
                <a:ext uri="{FF2B5EF4-FFF2-40B4-BE49-F238E27FC236}">
                  <a16:creationId xmlns:a16="http://schemas.microsoft.com/office/drawing/2014/main" id="{4E699701-4D1B-4001-ACD5-0A8B3B698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699701-4D1B-4001-ACD5-0A8B3B698A69}"/>
                        </a:ext>
                      </a:extLst>
                    </pic:cNvPr>
                    <pic:cNvPicPr>
                      <a:picLocks noChangeAspect="1"/>
                    </pic:cNvPicPr>
                  </pic:nvPicPr>
                  <pic:blipFill>
                    <a:blip r:embed="rId19"/>
                    <a:stretch>
                      <a:fillRect/>
                    </a:stretch>
                  </pic:blipFill>
                  <pic:spPr>
                    <a:xfrm>
                      <a:off x="0" y="0"/>
                      <a:ext cx="2587757" cy="1156006"/>
                    </a:xfrm>
                    <a:prstGeom prst="rect">
                      <a:avLst/>
                    </a:prstGeom>
                  </pic:spPr>
                </pic:pic>
              </a:graphicData>
            </a:graphic>
          </wp:inline>
        </w:drawing>
      </w:r>
    </w:p>
    <w:p w14:paraId="64F0021E" w14:textId="4789210B" w:rsidR="004A0C6B" w:rsidRDefault="004A0C6B" w:rsidP="008150A5">
      <w:r w:rsidRPr="004A0C6B">
        <w:rPr>
          <w:noProof/>
        </w:rPr>
        <w:drawing>
          <wp:inline distT="0" distB="0" distL="0" distR="0" wp14:anchorId="49A35EB6" wp14:editId="2E1A71B6">
            <wp:extent cx="2657475" cy="1147111"/>
            <wp:effectExtent l="0" t="0" r="0" b="0"/>
            <wp:docPr id="6" name="Picture 5">
              <a:extLst xmlns:a="http://schemas.openxmlformats.org/drawingml/2006/main">
                <a:ext uri="{FF2B5EF4-FFF2-40B4-BE49-F238E27FC236}">
                  <a16:creationId xmlns:a16="http://schemas.microsoft.com/office/drawing/2014/main" id="{F7A53EAF-7C32-4BBB-9304-3CA964F00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7A53EAF-7C32-4BBB-9304-3CA964F00290}"/>
                        </a:ext>
                      </a:extLst>
                    </pic:cNvPr>
                    <pic:cNvPicPr>
                      <a:picLocks noChangeAspect="1"/>
                    </pic:cNvPicPr>
                  </pic:nvPicPr>
                  <pic:blipFill>
                    <a:blip r:embed="rId20"/>
                    <a:stretch>
                      <a:fillRect/>
                    </a:stretch>
                  </pic:blipFill>
                  <pic:spPr>
                    <a:xfrm>
                      <a:off x="0" y="0"/>
                      <a:ext cx="2672352" cy="1153533"/>
                    </a:xfrm>
                    <a:prstGeom prst="rect">
                      <a:avLst/>
                    </a:prstGeom>
                  </pic:spPr>
                </pic:pic>
              </a:graphicData>
            </a:graphic>
          </wp:inline>
        </w:drawing>
      </w:r>
    </w:p>
    <w:p w14:paraId="6483B44B" w14:textId="29DCBB17" w:rsidR="004A0C6B" w:rsidRPr="004A0C6B" w:rsidRDefault="004A0C6B" w:rsidP="008150A5">
      <w:r>
        <w:rPr>
          <w:b/>
          <w:bCs/>
        </w:rPr>
        <w:t>AFPP Shared.lvlib:Update Target Tag – PPL Path.vi</w:t>
      </w:r>
      <w:r>
        <w:t xml:space="preserve"> sets and clears the PPL path tag on actors</w:t>
      </w:r>
      <w:r w:rsidR="00976716">
        <w:t>, and is invoked in several different entry points to the message scripting process.</w:t>
      </w:r>
    </w:p>
    <w:p w14:paraId="4EBF7287" w14:textId="29BF8D0E" w:rsidR="00CA0BC5" w:rsidRDefault="00CA4ED7" w:rsidP="008150A5">
      <w:pPr>
        <w:rPr>
          <w:u w:val="single"/>
        </w:rPr>
      </w:pPr>
      <w:r w:rsidRPr="00821048">
        <w:rPr>
          <w:u w:val="single"/>
        </w:rPr>
        <w:t>Executing Scripting Code</w:t>
      </w:r>
    </w:p>
    <w:p w14:paraId="3D2167A4" w14:textId="0160FB42" w:rsidR="00415E59" w:rsidRDefault="00415E59" w:rsidP="008150A5">
      <w:r>
        <w:t xml:space="preserve">When the user selects an option to create a message, the provider framework invokes the provider’s Item_OnCommand or Provider_OnCommand (depending on the number of project items selected).  </w:t>
      </w:r>
    </w:p>
    <w:p w14:paraId="3E7F1558" w14:textId="7C4D0FD9" w:rsidR="00415E59" w:rsidRPr="00415E59" w:rsidRDefault="00415E59" w:rsidP="008150A5">
      <w:r w:rsidRPr="00EF5F6E">
        <w:rPr>
          <w:highlight w:val="yellow"/>
        </w:rPr>
        <w:t>#TODO how do I want to bridge the space between OnCommand and actual message scripting?</w:t>
      </w:r>
      <w:r w:rsidR="00EF5F6E" w:rsidRPr="00EF5F6E">
        <w:rPr>
          <w:highlight w:val="yellow"/>
        </w:rPr>
        <w:t xml:space="preserve">  Come back to this after completing the Creating Messages section.</w:t>
      </w:r>
    </w:p>
    <w:p w14:paraId="30735F60" w14:textId="25B51429" w:rsidR="00CA0BC5" w:rsidRDefault="00CA0BC5" w:rsidP="008150A5">
      <w:pPr>
        <w:rPr>
          <w:b/>
          <w:bCs/>
        </w:rPr>
      </w:pPr>
      <w:r>
        <w:rPr>
          <w:b/>
          <w:bCs/>
        </w:rPr>
        <w:t>Error Handling</w:t>
      </w:r>
    </w:p>
    <w:p w14:paraId="3AA5C4B2" w14:textId="05DD16E5" w:rsidR="00FF0B2E" w:rsidRDefault="00FF0B2E" w:rsidP="008150A5">
      <w:r>
        <w:t>Project providers must provide their own error handling and reporting, as the provider framework has no default behaviors.  The primary and secondary providers in this suite handle errors somewhat differently.</w:t>
      </w:r>
    </w:p>
    <w:p w14:paraId="2B4DC3D1" w14:textId="61B9163D" w:rsidR="00FF0B2E" w:rsidRDefault="00FF0B2E" w:rsidP="008150A5">
      <w:r>
        <w:rPr>
          <w:u w:val="single"/>
        </w:rPr>
        <w:t>Primary Providers</w:t>
      </w:r>
    </w:p>
    <w:p w14:paraId="04A3C03F" w14:textId="454F8DB7" w:rsidR="00FF0B2E" w:rsidRDefault="00FF0B2E" w:rsidP="008150A5">
      <w:r>
        <w:t xml:space="preserve">The scripting code for Add Actor and Add Actor Interface is relatively simple and straightforward, and most errors involve user choices incompatible with the state of the users’ project file.  </w:t>
      </w:r>
      <w:r w:rsidR="00E76B92">
        <w:t>The scripting functions are called directly from a user interface (see below), so m</w:t>
      </w:r>
      <w:r w:rsidR="003914BC">
        <w:t>any errors are handled in the moment; users are notified of the error with One Button Dialog boxes, allowing them to cure the error and retry the operation.  In the rare instance of a scripting error, users are notified via the Simple Error handler, invoked at the end of CreateNewWizard_Invoke.vi or CreateNewWizard_Invoke Core.vi.</w:t>
      </w:r>
    </w:p>
    <w:p w14:paraId="23AD7951" w14:textId="6D891595" w:rsidR="003914BC" w:rsidRDefault="00E76B92" w:rsidP="008150A5">
      <w:r>
        <w:rPr>
          <w:u w:val="single"/>
        </w:rPr>
        <w:t>Secondary Providers</w:t>
      </w:r>
    </w:p>
    <w:p w14:paraId="1178FE72" w14:textId="751C9181" w:rsidR="00E76B92" w:rsidRDefault="00E76B92" w:rsidP="008150A5">
      <w:r>
        <w:t>Creating a message is much more complicated than creating an actor or actor interface</w:t>
      </w:r>
      <w:r w:rsidR="004A777E">
        <w:t>, and message creation is invoked directly from the provider framework.  Errors generated by the scripting code are thus forwarded to an error handler, rather than handled in the moment.</w:t>
      </w:r>
    </w:p>
    <w:p w14:paraId="2DF70927" w14:textId="7CF347D6" w:rsidR="004A777E" w:rsidRDefault="004A777E" w:rsidP="008150A5">
      <w:r>
        <w:t xml:space="preserve">Some standard LabVIEW error codes have specific meaning in the context of message creation.  Furthermore, a number of the scripting code can calculate one of several error conditions when it encounters a conflict.  Calculated errors are assigned an error code in the 6000 – 6100 range.  (As all </w:t>
      </w:r>
      <w:r>
        <w:lastRenderedPageBreak/>
        <w:t>error values are consumed within the providers themselves, there is no risk of conflict with error codes users may assign in their applications.)</w:t>
      </w:r>
    </w:p>
    <w:p w14:paraId="5C8C4A2D" w14:textId="3718C1A4" w:rsidR="004A777E" w:rsidRDefault="004A777E" w:rsidP="008150A5">
      <w:r>
        <w:t xml:space="preserve">Scripting code is invoked by Provider_OnCommand and Item_OnCommand VIs; each such VI passes any error output to </w:t>
      </w:r>
      <w:r w:rsidRPr="00F94413">
        <w:rPr>
          <w:b/>
          <w:bCs/>
        </w:rPr>
        <w:t>Message Maker.lvlib:Error Handler.vi</w:t>
      </w:r>
      <w:r w:rsidR="00F94413">
        <w:t>.  This VI specifies error codes with special meaning in this context; where such a code is detected, the handler presents the user with a One Button Dialog box with the appropriate error message.  If an error code is not on the list, the error is passed to Simple Error Handler.vi</w:t>
      </w:r>
    </w:p>
    <w:p w14:paraId="48559E91" w14:textId="56BEC42F" w:rsidR="00C86281" w:rsidRDefault="00C86281" w:rsidP="008150A5">
      <w:r>
        <w:t>Here is the front panel of Error Handler.vi, showing the currently supported error codes.  As of this writing, the calculated error codes range from 6000 to 6011.</w:t>
      </w:r>
    </w:p>
    <w:p w14:paraId="45BB0943" w14:textId="4B9ABD9C" w:rsidR="007925D2" w:rsidRPr="00F94413" w:rsidRDefault="007925D2" w:rsidP="008150A5">
      <w:r>
        <w:rPr>
          <w:noProof/>
        </w:rPr>
        <w:drawing>
          <wp:inline distT="0" distB="0" distL="0" distR="0" wp14:anchorId="0A68D833" wp14:editId="0BB9A341">
            <wp:extent cx="5943600" cy="3563620"/>
            <wp:effectExtent l="0" t="0" r="0" b="0"/>
            <wp:docPr id="98009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5133" name=""/>
                    <pic:cNvPicPr/>
                  </pic:nvPicPr>
                  <pic:blipFill>
                    <a:blip r:embed="rId21"/>
                    <a:stretch>
                      <a:fillRect/>
                    </a:stretch>
                  </pic:blipFill>
                  <pic:spPr>
                    <a:xfrm>
                      <a:off x="0" y="0"/>
                      <a:ext cx="5943600" cy="3563620"/>
                    </a:xfrm>
                    <a:prstGeom prst="rect">
                      <a:avLst/>
                    </a:prstGeom>
                  </pic:spPr>
                </pic:pic>
              </a:graphicData>
            </a:graphic>
          </wp:inline>
        </w:drawing>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18D53F4" w14:textId="21597D1A" w:rsidR="006D3F9F" w:rsidRDefault="006D3F9F" w:rsidP="008150A5">
      <w:r>
        <w:rPr>
          <w:b/>
          <w:bCs/>
        </w:rPr>
        <w:t>Add Actor.lvlib:Add Actor.vi</w:t>
      </w:r>
      <w:r>
        <w:t xml:space="preserve"> and </w:t>
      </w:r>
      <w:r>
        <w:rPr>
          <w:b/>
          <w:bCs/>
        </w:rPr>
        <w:t>Add Interface Dialog.vi</w:t>
      </w:r>
      <w:r>
        <w:t xml:space="preserve"> are the VIs invoked to create actors and actor interfaces.  Each is a user interface that collects information about and then creates the new actor/actor interface.  Most of the code on the block diagrams of these VIs is related to managing the user interface.</w:t>
      </w:r>
    </w:p>
    <w:p w14:paraId="6ECB98EF" w14:textId="137A9009" w:rsidR="006D3F9F" w:rsidRDefault="006D3F9F" w:rsidP="008150A5">
      <w:r>
        <w:t xml:space="preserve">Once the user clicks OK, these VIs invoke </w:t>
      </w:r>
      <w:r>
        <w:rPr>
          <w:b/>
          <w:bCs/>
        </w:rPr>
        <w:t>Add Actor.lvlib:Add Actor Library to Project.vi</w:t>
      </w:r>
      <w:r>
        <w:t xml:space="preserve">, followed by either </w:t>
      </w:r>
      <w:r>
        <w:rPr>
          <w:b/>
          <w:bCs/>
        </w:rPr>
        <w:t>Add Actor.lvlib:Create Child Actor.vi</w:t>
      </w:r>
      <w:r>
        <w:t xml:space="preserve"> or </w:t>
      </w:r>
      <w:r>
        <w:rPr>
          <w:b/>
          <w:bCs/>
        </w:rPr>
        <w:t>Add Actor Interface.lvlib:Create Interface.vi</w:t>
      </w:r>
      <w:r>
        <w:t>.</w:t>
      </w:r>
    </w:p>
    <w:p w14:paraId="3EBBE45C" w14:textId="75683106" w:rsidR="006D3F9F" w:rsidRPr="00C03CD4" w:rsidRDefault="00C03CD4" w:rsidP="008150A5">
      <w:r>
        <w:t xml:space="preserve">The Add Actor provider supports creating actors that inherit from other children of Actor.lvclass.  These other actors can be source code or included in a PPL.  Add Actor.vi uses an </w:t>
      </w:r>
      <w:r>
        <w:rPr>
          <w:b/>
          <w:bCs/>
        </w:rPr>
        <w:t>Actor Store.lvclass</w:t>
      </w:r>
      <w:r>
        <w:t xml:space="preserve"> to maintain a list of actors previously selected for inheritance.  </w:t>
      </w:r>
      <w:r>
        <w:rPr>
          <w:b/>
          <w:bCs/>
        </w:rPr>
        <w:t>INI Store.lvclass</w:t>
      </w:r>
      <w:r>
        <w:t xml:space="preserve"> maintains the store as entries in the LabVIEW INI file.  </w:t>
      </w:r>
      <w:r>
        <w:rPr>
          <w:b/>
          <w:bCs/>
        </w:rPr>
        <w:t>Target Store.lvlcass</w:t>
      </w:r>
      <w:r>
        <w:t xml:space="preserve"> maintains the store as tags in the project file.  </w:t>
      </w:r>
      <w:r w:rsidR="00EC2A64">
        <w:t>Add Actor.lvlib selects which store to use when it is invoked.  Target Store.lvlcass is selected if an Actor Framework PPL is detected in the project; otherwise, INI Store.lvlcass is selected.</w:t>
      </w:r>
    </w:p>
    <w:p w14:paraId="2BB359A1" w14:textId="77777777" w:rsidR="007157BB" w:rsidRDefault="006B0B78" w:rsidP="007157BB">
      <w:pPr>
        <w:rPr>
          <w:b/>
          <w:bCs/>
        </w:rPr>
      </w:pPr>
      <w:r>
        <w:rPr>
          <w:b/>
          <w:bCs/>
          <w:sz w:val="24"/>
          <w:szCs w:val="24"/>
          <w:u w:val="single"/>
        </w:rPr>
        <w:lastRenderedPageBreak/>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22"/>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F85CAEC" w14:textId="0FD5871C" w:rsidR="006B0B78" w:rsidRDefault="006B0B78" w:rsidP="008150A5">
      <w:pPr>
        <w:rPr>
          <w:b/>
          <w:bCs/>
          <w:sz w:val="24"/>
          <w:szCs w:val="24"/>
          <w:u w:val="single"/>
        </w:rPr>
      </w:pPr>
    </w:p>
    <w:p w14:paraId="7A3F63B1" w14:textId="75925A1C" w:rsidR="006B0B78" w:rsidRDefault="006B0B78" w:rsidP="008150A5">
      <w:pPr>
        <w:rPr>
          <w:b/>
          <w:bCs/>
        </w:rPr>
      </w:pPr>
      <w:r>
        <w:rPr>
          <w:b/>
          <w:bCs/>
        </w:rPr>
        <w:t>Prototyping</w:t>
      </w:r>
    </w:p>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lastRenderedPageBreak/>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23"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24"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25" w:history="1">
        <w:r w:rsidRPr="00E3584D">
          <w:rPr>
            <w:rStyle w:val="Hyperlink"/>
          </w:rPr>
          <w:t>https://forums.ni.com/t5/LabVIEW-Project-Providers/Project-Providers-Documentation/td-p/3492573</w:t>
        </w:r>
      </w:hyperlink>
    </w:p>
    <w:p w14:paraId="2FCF2C2D" w14:textId="5C138D26" w:rsidR="00E3584D" w:rsidRDefault="00E3584D" w:rsidP="008150A5">
      <w:r>
        <w:t>A presentation by David Ladolcetta:</w:t>
      </w:r>
    </w:p>
    <w:p w14:paraId="0E23B004" w14:textId="5223244B" w:rsidR="00E3584D" w:rsidRDefault="00E3584D" w:rsidP="008150A5">
      <w:hyperlink r:id="rId26"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27"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28"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29"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30"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0303D0"/>
    <w:rsid w:val="000D070C"/>
    <w:rsid w:val="000F4716"/>
    <w:rsid w:val="00112B61"/>
    <w:rsid w:val="00114106"/>
    <w:rsid w:val="001525F7"/>
    <w:rsid w:val="0017426C"/>
    <w:rsid w:val="001877EA"/>
    <w:rsid w:val="001C0B8F"/>
    <w:rsid w:val="002679D1"/>
    <w:rsid w:val="002A0756"/>
    <w:rsid w:val="002A311A"/>
    <w:rsid w:val="002E605A"/>
    <w:rsid w:val="002F1309"/>
    <w:rsid w:val="00355996"/>
    <w:rsid w:val="003705EE"/>
    <w:rsid w:val="00381FD8"/>
    <w:rsid w:val="00390966"/>
    <w:rsid w:val="003914BC"/>
    <w:rsid w:val="003A0280"/>
    <w:rsid w:val="003B6DCD"/>
    <w:rsid w:val="003F2835"/>
    <w:rsid w:val="00415E59"/>
    <w:rsid w:val="00452A0D"/>
    <w:rsid w:val="00453095"/>
    <w:rsid w:val="00466C1C"/>
    <w:rsid w:val="004A0C6B"/>
    <w:rsid w:val="004A777E"/>
    <w:rsid w:val="004B5829"/>
    <w:rsid w:val="004B5E13"/>
    <w:rsid w:val="00505034"/>
    <w:rsid w:val="00532592"/>
    <w:rsid w:val="00580849"/>
    <w:rsid w:val="005D771A"/>
    <w:rsid w:val="00620AA9"/>
    <w:rsid w:val="00640AE1"/>
    <w:rsid w:val="00644FA9"/>
    <w:rsid w:val="00690BE3"/>
    <w:rsid w:val="006B0B78"/>
    <w:rsid w:val="006D3F9F"/>
    <w:rsid w:val="006D50A1"/>
    <w:rsid w:val="006E0130"/>
    <w:rsid w:val="007157BB"/>
    <w:rsid w:val="007925D2"/>
    <w:rsid w:val="007B67A6"/>
    <w:rsid w:val="008049FB"/>
    <w:rsid w:val="008150A5"/>
    <w:rsid w:val="00821048"/>
    <w:rsid w:val="00867E5A"/>
    <w:rsid w:val="008A101E"/>
    <w:rsid w:val="008C055D"/>
    <w:rsid w:val="008C222A"/>
    <w:rsid w:val="009038CE"/>
    <w:rsid w:val="00933CC6"/>
    <w:rsid w:val="00976716"/>
    <w:rsid w:val="009B0DA5"/>
    <w:rsid w:val="00A00C4F"/>
    <w:rsid w:val="00A60F83"/>
    <w:rsid w:val="00A85E69"/>
    <w:rsid w:val="00AC3F52"/>
    <w:rsid w:val="00AC656A"/>
    <w:rsid w:val="00B644C1"/>
    <w:rsid w:val="00B67457"/>
    <w:rsid w:val="00B750AE"/>
    <w:rsid w:val="00B908BB"/>
    <w:rsid w:val="00B91534"/>
    <w:rsid w:val="00BC78B3"/>
    <w:rsid w:val="00C03CD4"/>
    <w:rsid w:val="00C23D36"/>
    <w:rsid w:val="00C36D85"/>
    <w:rsid w:val="00C6190E"/>
    <w:rsid w:val="00C75E9E"/>
    <w:rsid w:val="00C77E8C"/>
    <w:rsid w:val="00C86281"/>
    <w:rsid w:val="00C939DC"/>
    <w:rsid w:val="00CA0BC5"/>
    <w:rsid w:val="00CA4ED7"/>
    <w:rsid w:val="00CD2113"/>
    <w:rsid w:val="00CE6FDD"/>
    <w:rsid w:val="00D16ADA"/>
    <w:rsid w:val="00DB67A2"/>
    <w:rsid w:val="00DB7E36"/>
    <w:rsid w:val="00E219C7"/>
    <w:rsid w:val="00E3584D"/>
    <w:rsid w:val="00E41C07"/>
    <w:rsid w:val="00E51BA9"/>
    <w:rsid w:val="00E76B92"/>
    <w:rsid w:val="00EC2A64"/>
    <w:rsid w:val="00EE0E86"/>
    <w:rsid w:val="00EE46D2"/>
    <w:rsid w:val="00EF5F6E"/>
    <w:rsid w:val="00F12C45"/>
    <w:rsid w:val="00F22BD7"/>
    <w:rsid w:val="00F309DD"/>
    <w:rsid w:val="00F5189B"/>
    <w:rsid w:val="00F520BD"/>
    <w:rsid w:val="00F60B51"/>
    <w:rsid w:val="00F64D52"/>
    <w:rsid w:val="00F84BB9"/>
    <w:rsid w:val="00F94413"/>
    <w:rsid w:val="00FA647F"/>
    <w:rsid w:val="00FE0F07"/>
    <w:rsid w:val="00FE4EDC"/>
    <w:rsid w:val="00FE6EC7"/>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watch?v=xXGro_DylH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forums.ni.com/t5/LabVIEW-Project-Providers/Project-Providers-Documentation/td-p/349257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forums.ni.com/t5/Past-NIWeek-Sessions/Introduction-to-VI-Scripting-in-NI-LabVIEW/ta-p/349655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forums.ni.com/t5/LabVIEW-Project-Providers/bd-p/bymqyodmkc"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abviewwiki.org/wiki/Project_Provider_Framework" TargetMode="External"/><Relationship Id="rId28" Type="http://schemas.openxmlformats.org/officeDocument/2006/relationships/hyperlink" Target="https://labviewwiki.org/wiki/VI_Scriptin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forums.ni.com/t5/Developer-Center-Resources/Customize-the-LabVIEW-Project-Explorer-Using-the-Project/ta-p/3532774" TargetMode="External"/><Relationship Id="rId30" Type="http://schemas.openxmlformats.org/officeDocument/2006/relationships/hyperlink" Target="https://forums.ni.com/t5/Community-Documents/Don-t-Wait-for-LabVIEW-R-amp-D-Implement-Your-Own-LabVIEW/ta-p/3794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14</Pages>
  <Words>3358</Words>
  <Characters>19143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59</cp:revision>
  <dcterms:created xsi:type="dcterms:W3CDTF">2025-01-02T17:01:00Z</dcterms:created>
  <dcterms:modified xsi:type="dcterms:W3CDTF">2025-01-15T17:13:00Z</dcterms:modified>
</cp:coreProperties>
</file>