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line="360" w:lineRule="auto" w:before="0"/>
        <w:ind w:firstLine="0"/>
        <w:jc w:val="center"/>
      </w:pPr>
      <w:r>
        <w:rPr>
          <w:rFonts w:ascii="TH Sarabun New" w:hAnsi="TH Sarabun New" w:eastAsia="TH Sarabun New" w:cs="TH Sarabun New"/>
          <w:b/>
          <w:sz w:val="36"/>
        </w:rPr>
        <w:t>A bilingual hybrid intent classifier for a local-first perfume e-commerce assistant: design and preliminary evaluation</w:t>
      </w:r>
    </w:p>
    <w:p>
      <w:pPr>
        <w:keepNext/>
        <w:spacing w:after="0" w:line="360" w:lineRule="auto" w:before="0"/>
        <w:ind w:firstLine="0"/>
        <w:jc w:val="center"/>
      </w:pPr>
      <w:r>
        <w:rPr>
          <w:rFonts w:ascii="TH Sarabun New" w:hAnsi="TH Sarabun New" w:eastAsia="TH Sarabun New" w:cs="TH Sarabun New"/>
          <w:b/>
          <w:i w:val="0"/>
          <w:sz w:val="36"/>
        </w:rPr>
        <w:t>การออกแบบและประเมินเบื้องต้นของตัวจำแนกเจตนาแบบผสมสองภาษาสำหรับผู้ช่วยร้านค้าอีคอมเมิร์ซน้ำหอมที่ประมวลผลในเครื่อง</w:t>
      </w:r>
    </w:p>
    <w:p>
      <w:pPr>
        <w:keepNext/>
        <w:spacing w:line="360" w:lineRule="auto" w:before="0" w:after="0"/>
        <w:jc w:val="center"/>
      </w:pPr>
      <w:r>
        <w:rPr>
          <w:rFonts w:ascii="TH Sarabun New" w:hAnsi="TH Sarabun New" w:eastAsia="TH Sarabun New" w:cs="TH Sarabun New"/>
          <w:b w:val="0"/>
          <w:sz w:val="32"/>
        </w:rPr>
        <w:t>Muaadh Othman Hamood Alzain¹* and Naif Fawaz Salem Barashed¹</w:t>
      </w:r>
    </w:p>
    <w:p>
      <w:pPr>
        <w:keepNext/>
        <w:spacing w:line="360" w:lineRule="auto" w:before="0" w:after="0"/>
        <w:jc w:val="center"/>
      </w:pPr>
      <w:r>
        <w:rPr>
          <w:rFonts w:ascii="TH Sarabun New" w:hAnsi="TH Sarabun New" w:eastAsia="TH Sarabun New" w:cs="TH Sarabun New"/>
          <w:b w:val="0"/>
          <w:sz w:val="28"/>
        </w:rPr>
        <w:t>¹Information Technology Program, Faculty of Science and Technology, Fatoni University, Pattani, Thailand</w:t>
      </w:r>
    </w:p>
    <w:p>
      <w:pPr>
        <w:keepNext/>
        <w:spacing w:line="360" w:lineRule="auto" w:before="0" w:after="0"/>
        <w:jc w:val="center"/>
      </w:pPr>
      <w:r>
        <w:rPr>
          <w:rFonts w:ascii="TH Sarabun New" w:hAnsi="TH Sarabun New" w:eastAsia="TH Sarabun New" w:cs="TH Sarabun New"/>
          <w:b w:val="0"/>
          <w:sz w:val="28"/>
        </w:rPr>
        <w:t>*Corresponding author: Muaadh Othman Hamood Alzain; e-mail: muathalzain12@gmail.com; phone: 0946211823</w:t>
      </w:r>
    </w:p>
    <w:p>
      <w:pPr>
        <w:pStyle w:val="Heading1"/>
        <w:keepNext/>
        <w:pageBreakBefore w:val="0"/>
        <w:spacing w:line="360" w:lineRule="auto" w:before="0" w:after="0"/>
        <w:ind w:firstLine="0"/>
        <w:jc w:val="center"/>
      </w:pPr>
      <w:r>
        <w:rPr>
          <w:rFonts w:ascii="TH Sarabun New" w:hAnsi="TH Sarabun New" w:eastAsia="TH Sarabun New" w:cs="TH Sarabun New"/>
          <w:b/>
          <w:i w:val="0"/>
          <w:sz w:val="32"/>
        </w:rPr>
        <w:t>Abstract</w:t>
      </w:r>
    </w:p>
    <w:p>
      <w:pPr>
        <w:keepNext w:val="0"/>
        <w:spacing w:line="360" w:lineRule="auto" w:after="0" w:before="0"/>
        <w:ind w:firstLine="360"/>
        <w:jc w:val="both"/>
      </w:pPr>
      <w:r>
        <w:rPr>
          <w:rFonts w:ascii="TH Sarabun New" w:hAnsi="TH Sarabun New" w:eastAsia="TH Sarabun New" w:cs="TH Sarabun New"/>
          <w:b w:val="0"/>
          <w:i w:val="0"/>
          <w:sz w:val="28"/>
        </w:rPr>
        <w:t>This study describes a bilingual (Arabic and English) intent assistant integrated into a Django perfume e-commerce prototype and reports a preliminary evaluation of its intent-classification component. The system combines Arabic text normalization, a locally trained multinomial Naive Bayes classifier, domain-specific cue rules, catalogue-grounded response templates, a safe arithmetic evaluator, and an optional Ollama-served Qwen 2.5 model for general questions. We evaluated intent classification on a held-out, author-composed benchmark containing 72 queries balanced across nine intent classes and two languages. The current hybrid classifier correctly classified all 72 queries (100.0% accuracy; macro-F1 = 1.00), while a reproduced keyword-rule baseline classified 23 of 72 correctly (31.9% accuracy; macro-F1 = 0.24). Accuracy was 100.0% on each 36-query language subset; baseline accuracy was 36.1% for Arabic and 27.8% for English. In one local-process run, classifier-only latency had a median of 0.46 ms and a 95th percentile of 0.57 ms. These results indicate that explicit domain cues and lightweight classification can route the authored benchmark queries efficiently. They do not establish performance on natural customer conversations, user satisfaction, or the factual quality of Qwen-generated responses. The small, developer-authored benchmark limits generalizability; evaluation with independently collected and annotated utterances is required.</w:t>
      </w:r>
    </w:p>
    <w:p>
      <w:pPr>
        <w:keepNext/>
        <w:spacing w:line="360" w:lineRule="auto" w:after="0" w:before="0"/>
        <w:jc w:val="both"/>
      </w:pPr>
      <w:r>
        <w:rPr>
          <w:rFonts w:ascii="TH Sarabun New" w:hAnsi="TH Sarabun New" w:eastAsia="TH Sarabun New" w:cs="TH Sarabun New"/>
          <w:b/>
          <w:i w:val="0"/>
          <w:sz w:val="28"/>
        </w:rPr>
        <w:t xml:space="preserve">Keywords: </w:t>
      </w:r>
      <w:r>
        <w:rPr>
          <w:rFonts w:ascii="TH Sarabun New" w:hAnsi="TH Sarabun New" w:eastAsia="TH Sarabun New" w:cs="TH Sarabun New"/>
          <w:b w:val="0"/>
          <w:i w:val="0"/>
          <w:sz w:val="28"/>
        </w:rPr>
        <w:t>Arabic-English intent classification; e-commerce; local AI; Naive Bayes; conversational assistant</w:t>
      </w:r>
    </w:p>
    <w:p>
      <w:pPr>
        <w:pStyle w:val="Heading1"/>
        <w:keepNext/>
        <w:pageBreakBefore w:val="0"/>
        <w:spacing w:line="360" w:lineRule="auto" w:before="0" w:after="0"/>
        <w:ind w:firstLine="0"/>
        <w:jc w:val="center"/>
      </w:pPr>
      <w:r>
        <w:rPr>
          <w:rFonts w:ascii="TH Sarabun New" w:hAnsi="TH Sarabun New" w:eastAsia="TH Sarabun New" w:cs="TH Sarabun New"/>
          <w:b/>
          <w:i w:val="0"/>
          <w:sz w:val="32"/>
        </w:rPr>
        <w:t>บทคัดย่อ</w:t>
      </w:r>
    </w:p>
    <w:p>
      <w:pPr>
        <w:keepNext w:val="0"/>
        <w:spacing w:line="360" w:lineRule="auto" w:after="0" w:before="0"/>
        <w:ind w:firstLine="360"/>
        <w:jc w:val="both"/>
      </w:pPr>
      <w:r>
        <w:rPr>
          <w:rFonts w:ascii="TH Sarabun New" w:hAnsi="TH Sarabun New" w:eastAsia="TH Sarabun New" w:cs="TH Sarabun New"/>
          <w:b w:val="0"/>
          <w:i w:val="0"/>
          <w:sz w:val="28"/>
        </w:rPr>
        <w:t>งานวิจัยนี้นำเสนอผู้ช่วยสนทนาสองภาษา (ภาษาอาหรับและภาษาอังกฤษ) ที่ผสานกับต้นแบบร้านค้าอีคอมเมิร์ซน้ำหอมซึ่งพัฒนาด้วย Django และรายงานผลการประเมินเบื้องต้นของส่วนจำแนกเจตนา ระบบประกอบด้วยการปรับรูปข้อความภาษาอาหรับ ตัวจำแนกแบบมัลติโนเมียลนาอีฟเบย์ที่ฝึกภายในเครื่อง กฎคำสำคัญเฉพาะโดเมน แม่แบบคำตอบที่อ้างอิงข้อมูลสินค้า ตัวประเมินเลขคณิตอย่างปลอดภัย และโมเดล Qwen 2.5 ผ่าน Ollama สำหรับคำถามทั่วไป การประเมินใช้ชุดทดสอบที่ผู้พัฒนาเขียนขึ้นและแยกจากชุดฝึก จำนวน 72 ข้อ ครอบคลุมเจตนา 9 ประเภทและ 2 ภาษาอย่างสมดุล ตัวจำแนกแบบผสมจำแนกถูกต้อง 72 ข้อ (ความแม่นยำ 100.0%; macro-F1 = 1.00) ขณะที่ฐานเปรียบเทียบซึ่งจำลองกฎคำสำคัญเดิมจำแนกถูกต้อง 23 ข้อ (ความแม่นยำ 31.9%; macro-F1 = 0.24) ผลของชุดย่อยภาษาอาหรับและภาษาอังกฤษมีความแม่นยำ 100.0% ทั้งคู่ ส่วนฐานเปรียบเทียบได้ 36.1% และ 27.8% ตามลำดับ ในการวัดหนึ่งครั้งภายในโพรเซสเฉพาะเครื่อง เวลาแฝงของตัวจำแนกมีค่ามัธยฐาน 0.46 มิลลิวินาที และเปอร์เซ็นไทล์ที่ 95 เท่ากับ 0.57 มิลลิวินาที ผลดังกล่าวแสดงประสิทธิภาพบนชุดคำถามที่ผู้พัฒนาสร้างขึ้นเท่านั้น ยังไม่ยืนยันผลกับบทสนทนาของลูกค้าจริง ความพึงพอใจของผู้ใช้ หรือความถูกต้องของคำตอบจาก Qwen ชุดข้อมูลขนาดเล็กและผู้พัฒนาเป็นผู้เขียนทำให้การสรุปอ้างอิงทั่วไปมีข้อจำกัด จึงควรประเมินด้วยข้อความที่รวบรวมและติดป้ายกำกับโดยผู้ประเมินอิสระต่อไป.</w:t>
      </w:r>
    </w:p>
    <w:p>
      <w:pPr>
        <w:keepNext w:val="0"/>
        <w:spacing w:line="360" w:lineRule="auto" w:after="0" w:before="0"/>
        <w:jc w:val="both"/>
      </w:pPr>
      <w:r>
        <w:rPr>
          <w:rFonts w:ascii="TH Sarabun New" w:hAnsi="TH Sarabun New" w:eastAsia="TH Sarabun New" w:cs="TH Sarabun New"/>
          <w:b/>
          <w:i w:val="0"/>
          <w:sz w:val="28"/>
        </w:rPr>
        <w:t xml:space="preserve">คำสำคัญ: </w:t>
      </w:r>
      <w:r>
        <w:rPr>
          <w:rFonts w:ascii="TH Sarabun New" w:hAnsi="TH Sarabun New" w:eastAsia="TH Sarabun New" w:cs="TH Sarabun New"/>
          <w:b w:val="0"/>
          <w:i w:val="0"/>
          <w:sz w:val="28"/>
        </w:rPr>
        <w:t>การจำแนกเจตนาสองภาษา; ภาษาอาหรับ; อีคอมเมิร์ซ; ปัญญาประดิษฐ์ภายในเครื่อง; ผู้ช่วยสนทนา</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1. Introduction</w:t>
      </w:r>
    </w:p>
    <w:p>
      <w:pPr>
        <w:keepNext w:val="0"/>
        <w:spacing w:line="360" w:lineRule="auto" w:after="0" w:before="0"/>
        <w:ind w:firstLine="360"/>
        <w:jc w:val="both"/>
      </w:pPr>
      <w:r>
        <w:rPr>
          <w:rFonts w:ascii="TH Sarabun New" w:hAnsi="TH Sarabun New" w:eastAsia="TH Sarabun New" w:cs="TH Sarabun New"/>
          <w:b w:val="0"/>
          <w:i w:val="0"/>
          <w:sz w:val="28"/>
        </w:rPr>
        <w:t>Conversational assistants in online stores must distinguish requests such as product discovery, price inquiries, recommendations, and delivery questions. Intent detection is a central component of task-oriented assistants, and multilingual systems face additional variation in tokenization and linguistic expression [1]. Arabic resources and evaluation are especially important because Arabic queries can include orthographic variation and dialectal forms. ArBanking77, for example, provides a large Arabic banking-intent resource spanning Modern Standard Arabic and Palestinian dialect, illustrating both the value and domain-specific nature of intent datasets [2].</w:t>
      </w:r>
    </w:p>
    <w:p>
      <w:pPr>
        <w:keepNext w:val="0"/>
        <w:spacing w:line="360" w:lineRule="auto" w:after="0" w:before="0"/>
        <w:ind w:firstLine="360"/>
        <w:jc w:val="both"/>
      </w:pPr>
      <w:r>
        <w:rPr>
          <w:rFonts w:ascii="TH Sarabun New" w:hAnsi="TH Sarabun New" w:eastAsia="TH Sarabun New" w:cs="TH Sarabun New"/>
          <w:b w:val="0"/>
          <w:i w:val="0"/>
          <w:sz w:val="28"/>
        </w:rPr>
        <w:t>The PERFUME project is a bilingual educational perfume-store prototype. Its assistant is designed to keep catalog facts tied to the current product database while providing a separate local-model path for general questions. A hybrid design is used: lightweight local intent classification and explicit domain cues handle common store requests, whereas a local language model is reserved for open-ended prompts. This separation is intended to reduce unsupported generated claims about prices and inventory while keeping general interaction available. The approach is motivated by the trade-off between task-specific classification and broader language generation; Naive Bayes remains a compact, interpretable baseline for text categorization [3].</w:t>
      </w:r>
    </w:p>
    <w:p>
      <w:pPr>
        <w:keepNext w:val="0"/>
        <w:spacing w:line="360" w:lineRule="auto" w:after="0" w:before="0"/>
        <w:ind w:firstLine="360"/>
        <w:jc w:val="both"/>
      </w:pPr>
      <w:r>
        <w:rPr>
          <w:rFonts w:ascii="TH Sarabun New" w:hAnsi="TH Sarabun New" w:eastAsia="TH Sarabun New" w:cs="TH Sarabun New"/>
          <w:b w:val="0"/>
          <w:i w:val="0"/>
          <w:sz w:val="28"/>
        </w:rPr>
        <w:t>This paper documents the system architecture and reports a reproducible preliminary comparison between the current hybrid intent classifier and an earlier keyword-priority baseline. The study asks: (1) how accurately does the current classifier route a small held-out set of authored Arabic and English store queries; and (2) how does its performance compare with the reconstructed keyword baseline? The evaluation is restricted to intent labels and classifier-only timing. It does not evaluate generated answer correctness, user experience, or real-world customer traffic.</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2. Materials and Methods</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2.1 System architecture</w:t>
      </w:r>
    </w:p>
    <w:p>
      <w:pPr>
        <w:keepNext w:val="0"/>
        <w:spacing w:line="360" w:lineRule="auto" w:after="0" w:before="0"/>
        <w:ind w:firstLine="360"/>
        <w:jc w:val="both"/>
      </w:pPr>
      <w:r>
        <w:rPr>
          <w:rFonts w:ascii="TH Sarabun New" w:hAnsi="TH Sarabun New" w:eastAsia="TH Sarabun New" w:cs="TH Sarabun New"/>
          <w:sz w:val="28"/>
        </w:rPr>
        <w:t>The website uses Django and Django REST Framework with an SQLite database. The assistant is exposed through a POST API endpoint that validates a text question and limits its length to 500 characters. It identifies the language from the query, normalizes Arabic character variants and diacritics, and routes the request. Product, price, catalogue, and recommendation responses are generated from application logic and available product records; delivery/order and contact requests use predefined response templates. Arithmetic expressions are parsed and evaluated through a restricted abstract syntax tree that permits basic numeric operations rather than arbitrary code execution. General or out-of-domain questions are sent to a local Ollama chat endpoint; the configured models are Qwen 2.5 3B and Qwen 2.5 1.5B [5]. Ollama exposes a local chat API, and its request format accepts messages and model parameters [4]. The model path was not included in the quantitative intent benchmark.</w:t>
      </w:r>
    </w:p>
    <w:p>
      <w:pPr>
        <w:keepNext w:val="0"/>
        <w:spacing w:line="360" w:lineRule="auto" w:after="0" w:before="0"/>
        <w:ind w:firstLine="360"/>
        <w:jc w:val="both"/>
      </w:pPr>
      <w:r>
        <w:rPr>
          <w:rFonts w:ascii="TH Sarabun New" w:hAnsi="TH Sarabun New" w:eastAsia="TH Sarabun New" w:cs="TH Sarabun New"/>
          <w:b w:val="0"/>
          <w:i w:val="0"/>
          <w:sz w:val="28"/>
        </w:rPr>
        <w:t>The classifier normalizes case and common Arabic orthographic variants, removes combining marks and tatweel, and expands selected Arabic prefixes. It extracts word features, adjacent-token features, and character n-grams before applying a multinomial Naive Bayes model. Explicit domain cues provide deterministic routing for selected high-value store intents. Where product details are returned, values are read from the store catalogue rather than generated by the language model. This design is consistent with the broader practice of evaluating intent routing independently from response generation [1,2].</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2.2 Data and benchmark</w:t>
      </w:r>
    </w:p>
    <w:p>
      <w:pPr>
        <w:keepNext w:val="0"/>
        <w:spacing w:line="360" w:lineRule="auto" w:after="0" w:before="0"/>
        <w:ind w:firstLine="360"/>
        <w:jc w:val="both"/>
      </w:pPr>
      <w:r>
        <w:rPr>
          <w:rFonts w:ascii="TH Sarabun New" w:hAnsi="TH Sarabun New" w:eastAsia="TH Sarabun New" w:cs="TH Sarabun New"/>
          <w:b w:val="0"/>
          <w:i w:val="0"/>
          <w:sz w:val="28"/>
        </w:rPr>
        <w:t>The training corpus contains 324 developer-authored examples: 18 examples for each of nine intent classes in each of two languages (Arabic and English). The held-out test set contains 72 examples, with four examples per language for each class. The nine classes are greeting, price, delivery/order, contact, recommendation, catalog, product information, store information, and other. The benchmark files are stored in the project repository. No customer conversations or human participants were used; examples were composed by the project team for software validation.</w:t>
      </w:r>
    </w:p>
    <w:p>
      <w:pPr>
        <w:keepNext w:val="0"/>
        <w:spacing w:line="360" w:lineRule="auto" w:after="0" w:before="0"/>
        <w:ind w:firstLine="360"/>
        <w:jc w:val="both"/>
      </w:pPr>
      <w:r>
        <w:rPr>
          <w:rFonts w:ascii="TH Sarabun New" w:hAnsi="TH Sarabun New" w:eastAsia="TH Sarabun New" w:cs="TH Sarabun New"/>
          <w:b w:val="0"/>
          <w:i w:val="0"/>
          <w:sz w:val="28"/>
        </w:rPr>
        <w:t>The current implementation was evaluated with the repository script research/evaluate_intents.py against research/intent_test.json. The comparison baseline reconstructs the prior keyword-substring priority rules. Both systems receive the same 72 test texts and are scored against the benchmark labels. Accuracy, macro-precision, macro-recall, macro-F1, and per-language accuracy are calculated. Because each class contributes eight test items overall, the benchmark is balanced by design. Reported scores are descriptive for this fixed set and are not estimates from a representative population.</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2.3 Timing procedure</w:t>
      </w:r>
    </w:p>
    <w:p>
      <w:pPr>
        <w:keepNext w:val="0"/>
        <w:spacing w:line="360" w:lineRule="auto" w:after="0" w:before="0"/>
        <w:ind w:firstLine="360"/>
        <w:jc w:val="both"/>
      </w:pPr>
      <w:r>
        <w:rPr>
          <w:rFonts w:ascii="TH Sarabun New" w:hAnsi="TH Sarabun New" w:eastAsia="TH Sarabun New" w:cs="TH Sarabun New"/>
          <w:b w:val="0"/>
          <w:i w:val="0"/>
          <w:sz w:val="28"/>
        </w:rPr>
        <w:t>Classifier-only latency was measured in one local Python process by timing ten repeated predictions for each of the 72 queries with a monotonic high-resolution timer. The benchmark script reports the median and empirical 95th percentile over 720 predictions. The measurement excludes HTTP transport, database access, page rendering, and language-model generation. The development environment reported Python 3.13.5 and Django 6.1. Timing is therefore an implementation-level observation and should not be interpreted as end-to-end assistant response time.</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2.4 Evaluation scope and ethics</w:t>
      </w:r>
    </w:p>
    <w:p>
      <w:pPr>
        <w:keepNext w:val="0"/>
        <w:spacing w:line="360" w:lineRule="auto" w:after="0" w:before="0"/>
        <w:ind w:firstLine="360"/>
        <w:jc w:val="both"/>
      </w:pPr>
      <w:r>
        <w:rPr>
          <w:rFonts w:ascii="TH Sarabun New" w:hAnsi="TH Sarabun New" w:eastAsia="TH Sarabun New" w:cs="TH Sarabun New"/>
          <w:b w:val="0"/>
          <w:i w:val="0"/>
          <w:sz w:val="28"/>
        </w:rPr>
        <w:t>This evaluation used only developer-authored text examples and did not recruit participants or collect personal data. The reported analysis concerns software classification outputs, not user behavior. No human- or animal-subject experiment was conducted. An independent user study would require review of the institution’s applicable research-ethics requirements before recruitment.</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3. Results</w:t>
      </w:r>
    </w:p>
    <w:p>
      <w:pPr>
        <w:keepNext w:val="0"/>
        <w:spacing w:line="360" w:lineRule="auto" w:after="0" w:before="0"/>
        <w:ind w:firstLine="360"/>
        <w:jc w:val="both"/>
      </w:pPr>
      <w:r>
        <w:rPr>
          <w:rFonts w:ascii="TH Sarabun New" w:hAnsi="TH Sarabun New" w:eastAsia="TH Sarabun New" w:cs="TH Sarabun New"/>
          <w:b w:val="0"/>
          <w:i w:val="0"/>
          <w:sz w:val="28"/>
        </w:rPr>
        <w:t>On the current run of the benchmark, the hybrid intent classifier correctly labeled all 72 test queries (72/72; 100.0% accuracy; macro-F1 = 1.00). The reproduced keyword baseline correctly labeled 23 of 72 (31.9% accuracy; macro-F1 = 0.24). This corresponds to a 68.1 percentage-point difference in accuracy on this fixed set. The result is summarized in Table 1.</w:t>
      </w:r>
    </w:p>
    <w:p>
      <w:pPr>
        <w:keepNext/>
        <w:pageBreakBefore w:val="0"/>
        <w:spacing w:line="360" w:lineRule="auto" w:after="0" w:before="0"/>
        <w:jc w:val="left"/>
      </w:pPr>
      <w:r>
        <w:rPr>
          <w:rFonts w:ascii="TH Sarabun New" w:hAnsi="TH Sarabun New" w:eastAsia="TH Sarabun New" w:cs="TH Sarabun New"/>
          <w:b w:val="0"/>
          <w:i w:val="0"/>
          <w:sz w:val="28"/>
        </w:rPr>
        <w:t>Table 1. Preliminary benchmark results for the project-authored test set.</w:t>
      </w:r>
    </w:p>
    <w:tbl>
      <w:tblPr>
        <w:tblStyle w:val="TableGrid"/>
        <w:tblW w:type="auto" w:w="0"/>
        <w:tblLayout w:type="fixed"/>
        <w:tblLook w:firstColumn="1" w:firstRow="1" w:lastColumn="0" w:lastRow="0" w:noHBand="0" w:noVBand="1" w:val="04A0"/>
      </w:tblPr>
      <w:tblGrid>
        <w:gridCol w:w="3010"/>
        <w:gridCol w:w="3010"/>
        <w:gridCol w:w="3010"/>
      </w:tblGrid>
      <w:tr>
        <w:trPr>
          <w:cantSplit/>
        </w:trPr>
        <w:tc>
          <w:tcPr>
            <w:tcW w:type="dxa" w:w="360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i w:val="0"/>
                <w:sz w:val="28"/>
              </w:rPr>
              <w:t>Measure</w:t>
            </w:r>
          </w:p>
        </w:tc>
        <w:tc>
          <w:tcPr>
            <w:tcW w:type="dxa" w:w="2952"/>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i w:val="0"/>
                <w:sz w:val="28"/>
              </w:rPr>
              <w:t>Hybrid classifier</w:t>
            </w:r>
          </w:p>
        </w:tc>
        <w:tc>
          <w:tcPr>
            <w:tcW w:type="dxa" w:w="2952"/>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i w:val="0"/>
                <w:sz w:val="28"/>
              </w:rPr>
              <w:t>Keyword baseline</w:t>
            </w:r>
          </w:p>
        </w:tc>
      </w:tr>
      <w:tr>
        <w:trPr>
          <w:cantSplit/>
        </w:trPr>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Training examples</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324</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Not trained</w:t>
            </w:r>
          </w:p>
        </w:tc>
      </w:tr>
      <w:tr>
        <w:trPr>
          <w:cantSplit/>
        </w:trPr>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Held-out test queries</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72</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72</w:t>
            </w:r>
          </w:p>
        </w:tc>
      </w:tr>
      <w:tr>
        <w:trPr>
          <w:cantSplit/>
        </w:trPr>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Overall accuracy</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100.0% (72/72)</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31.9% (23/72)</w:t>
            </w:r>
          </w:p>
        </w:tc>
      </w:tr>
      <w:tr>
        <w:trPr>
          <w:cantSplit/>
        </w:trPr>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Macro-F1</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1.00</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0.24</w:t>
            </w:r>
          </w:p>
        </w:tc>
      </w:tr>
      <w:tr>
        <w:trPr>
          <w:cantSplit/>
        </w:trPr>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Arabic accuracy</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100.0% (36/36)</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36.1% (13/36)</w:t>
            </w:r>
          </w:p>
        </w:tc>
      </w:tr>
      <w:tr>
        <w:trPr>
          <w:cantSplit/>
        </w:trPr>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English accuracy</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100.0% (36/36)</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27.8% (10/36)</w:t>
            </w:r>
          </w:p>
        </w:tc>
      </w:tr>
      <w:tr>
        <w:trPr>
          <w:cantSplit/>
        </w:trPr>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Classifier-only median latency</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0.46 ms</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Not measured</w:t>
            </w:r>
          </w:p>
        </w:tc>
      </w:tr>
      <w:tr>
        <w:trPr>
          <w:cantSplit/>
        </w:trPr>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Classifier-only p95 latency</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0.57 ms</w:t>
            </w:r>
          </w:p>
        </w:tc>
        <w:tc>
          <w:tcPr>
            <w:tcW w:type="dxa" w:w="3010"/>
          </w:tcPr>
          <w:p>
            <w:pPr>
              <w:spacing w:line="240" w:lineRule="auto"/>
              <w:jc w:val="left"/>
            </w:pPr>
            <w:r>
              <w:rPr>
                <w:rFonts w:ascii="TH Sarabun New" w:hAnsi="TH Sarabun New" w:eastAsia="TH Sarabun New" w:cs="TH Sarabun New"/>
                <w:sz w:val="28"/>
              </w:rPr>
            </w:r>
            <w:r>
              <w:rPr>
                <w:rFonts w:ascii="TH Sarabun New" w:hAnsi="TH Sarabun New" w:eastAsia="TH Sarabun New" w:cs="TH Sarabun New"/>
                <w:b w:val="0"/>
                <w:i w:val="0"/>
                <w:sz w:val="28"/>
              </w:rPr>
              <w:t>Not measured</w:t>
            </w:r>
          </w:p>
        </w:tc>
      </w:tr>
    </w:tbl>
    <w:p>
      <w:pPr>
        <w:keepNext w:val="0"/>
        <w:spacing w:line="360" w:lineRule="auto" w:after="0" w:before="0"/>
        <w:ind w:firstLine="360"/>
        <w:jc w:val="both"/>
      </w:pPr>
      <w:r>
        <w:rPr>
          <w:rFonts w:ascii="TH Sarabun New" w:hAnsi="TH Sarabun New" w:eastAsia="TH Sarabun New" w:cs="TH Sarabun New"/>
          <w:b w:val="0"/>
          <w:i w:val="0"/>
          <w:sz w:val="28"/>
        </w:rPr>
        <w:t>Accuracy was 100.0% on both language subsets. The keyword baseline achieved 36.1% accuracy on Arabic queries and 27.8% on English queries. The local classifier timing recorded a median of 0.46 ms and a 95th percentile of 0.57 ms over 720 predictions in the stated local-process procedure. These values describe the classifier component only. They do not include time for the Qwen model to generate a response.</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4. Discussion</w:t>
      </w:r>
    </w:p>
    <w:p>
      <w:pPr>
        <w:keepNext w:val="0"/>
        <w:spacing w:line="360" w:lineRule="auto" w:after="0" w:before="0"/>
        <w:ind w:firstLine="360"/>
        <w:jc w:val="both"/>
      </w:pPr>
      <w:r>
        <w:rPr>
          <w:rFonts w:ascii="TH Sarabun New" w:hAnsi="TH Sarabun New" w:eastAsia="TH Sarabun New" w:cs="TH Sarabun New"/>
          <w:b w:val="0"/>
          <w:i w:val="0"/>
          <w:sz w:val="28"/>
        </w:rPr>
        <w:t>The benchmark indicates that the current intent-routing implementation handled the authored test cases more consistently than the reconstructed keyword baseline. The result is plausible for a constrained e-commerce domain in which a small set of intents can be represented by training examples and domain cues. Multilingual intent systems are commonly evaluated across language subsets because aggregate results can conceal language-specific differences [1]. Arabic intent research also demonstrates the importance of matching test data to the language variety and domain under study [2].</w:t>
      </w:r>
    </w:p>
    <w:p>
      <w:pPr>
        <w:keepNext w:val="0"/>
        <w:spacing w:line="360" w:lineRule="auto" w:after="0" w:before="0"/>
        <w:ind w:firstLine="360"/>
        <w:jc w:val="both"/>
      </w:pPr>
      <w:r>
        <w:rPr>
          <w:rFonts w:ascii="TH Sarabun New" w:hAnsi="TH Sarabun New" w:eastAsia="TH Sarabun New" w:cs="TH Sarabun New"/>
          <w:b w:val="0"/>
          <w:i w:val="0"/>
          <w:sz w:val="28"/>
        </w:rPr>
        <w:t>The observed 100% accuracy must be interpreted cautiously. The test set has only four examples per class and language, was composed by the same project team that developed the system, and may reflect the lexical cues encoded in the implementation. The benchmark therefore does not establish generalization to unseen phrasing, spelling errors, dialectal diversity, code-switching, or real customer messages. The baseline is a reconstructed version of this project’s earlier rules, not a comparison against a comprehensive set of published methods. The local-model path was not separately tested for correctness, Arabic fluency, safety, or response latency in this experiment. In particular, successful intent routing should not be presented as evidence that Qwen’s free-form answers are factually reliable.</w:t>
      </w:r>
    </w:p>
    <w:p>
      <w:pPr>
        <w:keepNext w:val="0"/>
        <w:spacing w:line="360" w:lineRule="auto" w:after="0" w:before="0"/>
        <w:ind w:firstLine="360"/>
        <w:jc w:val="both"/>
      </w:pPr>
      <w:r>
        <w:rPr>
          <w:rFonts w:ascii="TH Sarabun New" w:hAnsi="TH Sarabun New" w:eastAsia="TH Sarabun New" w:cs="TH Sarabun New"/>
          <w:b w:val="0"/>
          <w:i w:val="0"/>
          <w:sz w:val="28"/>
        </w:rPr>
        <w:t>A stronger follow-up study should expand the test set, obtain independently authored examples, document annotation instructions, and use at least two independent annotators with adjudication of disagreements. It should report confidence intervals or other uncertainty measures and evaluate macro-F1 by language and intent. A separate end-to-end experiment should test catalogue grounding, arithmetic, model-generated answers, and response latency for both model sizes. If participants are recruited to assess usability, the study should first follow the relevant institutional ethics process. These extensions are necessary before drawing broader conclusions about practical effectiveness.</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5. Conclusion</w:t>
      </w:r>
    </w:p>
    <w:p>
      <w:pPr>
        <w:keepNext w:val="0"/>
        <w:spacing w:line="360" w:lineRule="auto" w:after="0" w:before="0"/>
        <w:ind w:firstLine="360"/>
        <w:jc w:val="both"/>
      </w:pPr>
      <w:r>
        <w:rPr>
          <w:rFonts w:ascii="TH Sarabun New" w:hAnsi="TH Sarabun New" w:eastAsia="TH Sarabun New" w:cs="TH Sarabun New"/>
          <w:b w:val="0"/>
          <w:i w:val="0"/>
          <w:sz w:val="28"/>
        </w:rPr>
        <w:t>This paper described a local-first bilingual perfume-store assistant that combines database-grounded store responses, lightweight Arabic-English intent classification, safe arithmetic handling, and an optional locally served Qwen model for general questions. In a small developer-authored benchmark, the current classifier achieved 100.0% accuracy and macro-F1 of 1.00, compared with 31.9% accuracy and macro-F1 of 0.24 for a reconstructed keyword baseline. Classifier-only latency was below 1 ms in the measured local process. These preliminary results support the feasibility of the routing design on its authored test set; they do not demonstrate performance on real customer conversations or the quality of generated responses. Independent data and end-to-end evaluation are the principal next steps.</w:t>
      </w:r>
    </w:p>
    <w:p>
      <w:pPr>
        <w:pStyle w:val="Heading1"/>
        <w:keepNext/>
        <w:spacing w:line="360" w:lineRule="auto" w:before="0" w:after="0"/>
        <w:jc w:val="left"/>
      </w:pPr>
      <w:r>
        <w:rPr>
          <w:rFonts w:ascii="TH Sarabun New" w:hAnsi="TH Sarabun New" w:eastAsia="TH Sarabun New" w:cs="TH Sarabun New"/>
          <w:b/>
          <w:sz w:val="28"/>
        </w:rPr>
        <w:t>Acknowledgments</w:t>
      </w:r>
    </w:p>
    <w:p>
      <w:pPr>
        <w:keepNext w:val="0"/>
        <w:spacing w:line="360" w:lineRule="auto" w:before="0" w:after="0"/>
        <w:jc w:val="both"/>
      </w:pPr>
      <w:r>
        <w:rPr>
          <w:rFonts w:ascii="TH Sarabun New" w:hAnsi="TH Sarabun New" w:eastAsia="TH Sarabun New" w:cs="TH Sarabun New"/>
          <w:b w:val="0"/>
          <w:sz w:val="28"/>
        </w:rPr>
        <w:t>The authors acknowledge Dr. Anas Tawalbeh for academic supervision.</w:t>
      </w:r>
    </w:p>
    <w:p>
      <w:pPr>
        <w:pStyle w:val="Heading1"/>
        <w:keepNext/>
        <w:spacing w:line="360" w:lineRule="auto" w:before="0" w:after="0"/>
        <w:jc w:val="left"/>
      </w:pPr>
      <w:r>
        <w:rPr>
          <w:rFonts w:ascii="TH Sarabun New" w:hAnsi="TH Sarabun New" w:eastAsia="TH Sarabun New" w:cs="TH Sarabun New"/>
          <w:b/>
          <w:sz w:val="28"/>
        </w:rPr>
        <w:t>Funding</w:t>
      </w:r>
    </w:p>
    <w:p>
      <w:pPr>
        <w:keepNext w:val="0"/>
        <w:spacing w:line="360" w:lineRule="auto" w:before="0" w:after="0"/>
        <w:jc w:val="both"/>
      </w:pPr>
      <w:r>
        <w:rPr>
          <w:rFonts w:ascii="TH Sarabun New" w:hAnsi="TH Sarabun New" w:eastAsia="TH Sarabun New" w:cs="TH Sarabun New"/>
          <w:b w:val="0"/>
          <w:sz w:val="28"/>
        </w:rPr>
        <w:t>This study received no external funding.</w:t>
      </w:r>
    </w:p>
    <w:p>
      <w:pPr>
        <w:pStyle w:val="Heading1"/>
        <w:keepNext/>
        <w:spacing w:line="360" w:lineRule="auto" w:before="0" w:after="0"/>
        <w:jc w:val="left"/>
      </w:pPr>
      <w:r>
        <w:rPr>
          <w:rFonts w:ascii="TH Sarabun New" w:hAnsi="TH Sarabun New" w:eastAsia="TH Sarabun New" w:cs="TH Sarabun New"/>
          <w:b/>
          <w:sz w:val="28"/>
        </w:rPr>
        <w:t>Conflict of interest</w:t>
      </w:r>
    </w:p>
    <w:p>
      <w:pPr>
        <w:keepNext w:val="0"/>
        <w:spacing w:line="360" w:lineRule="auto" w:before="0" w:after="0"/>
        <w:jc w:val="both"/>
      </w:pPr>
      <w:r>
        <w:rPr>
          <w:rFonts w:ascii="TH Sarabun New" w:hAnsi="TH Sarabun New" w:eastAsia="TH Sarabun New" w:cs="TH Sarabun New"/>
          <w:b w:val="0"/>
          <w:sz w:val="28"/>
        </w:rPr>
        <w:t>The authors declare no conflict of interest.</w:t>
      </w:r>
    </w:p>
    <w:p>
      <w:pPr>
        <w:pStyle w:val="Heading1"/>
        <w:keepNext/>
        <w:spacing w:line="360" w:lineRule="auto" w:before="0" w:after="0"/>
        <w:jc w:val="left"/>
      </w:pPr>
      <w:r>
        <w:rPr>
          <w:rFonts w:ascii="TH Sarabun New" w:hAnsi="TH Sarabun New" w:eastAsia="TH Sarabun New" w:cs="TH Sarabun New"/>
          <w:b/>
          <w:sz w:val="28"/>
        </w:rPr>
        <w:t>Ethics statement</w:t>
      </w:r>
    </w:p>
    <w:p>
      <w:pPr>
        <w:keepNext w:val="0"/>
        <w:spacing w:line="360" w:lineRule="auto" w:before="0" w:after="0"/>
        <w:jc w:val="both"/>
      </w:pPr>
      <w:r>
        <w:rPr>
          <w:rFonts w:ascii="TH Sarabun New" w:hAnsi="TH Sarabun New" w:eastAsia="TH Sarabun New" w:cs="TH Sarabun New"/>
          <w:b w:val="0"/>
          <w:sz w:val="28"/>
        </w:rPr>
        <w:t>The reported benchmark contains only text examples authored by the project team. No real customer names, customer records, or human or animal participants were used in this evaluation.</w:t>
      </w:r>
    </w:p>
    <w:p>
      <w:pPr>
        <w:pStyle w:val="Heading1"/>
        <w:keepNext/>
        <w:pageBreakBefore w:val="0"/>
        <w:spacing w:line="360" w:lineRule="auto" w:before="0" w:after="0"/>
        <w:ind w:firstLine="0"/>
        <w:jc w:val="left"/>
      </w:pPr>
      <w:r>
        <w:rPr>
          <w:rFonts w:ascii="TH Sarabun New" w:hAnsi="TH Sarabun New" w:eastAsia="TH Sarabun New" w:cs="TH Sarabun New"/>
          <w:b/>
          <w:i w:val="0"/>
          <w:sz w:val="28"/>
        </w:rPr>
        <w:t>References</w:t>
      </w:r>
    </w:p>
    <w:p>
      <w:pPr>
        <w:keepNext w:val="0"/>
        <w:spacing w:line="360" w:lineRule="auto" w:after="0" w:before="0"/>
        <w:ind w:left="403" w:hanging="403"/>
        <w:jc w:val="both"/>
      </w:pPr>
      <w:r>
        <w:rPr>
          <w:rFonts w:ascii="TH Sarabun New" w:hAnsi="TH Sarabun New" w:eastAsia="TH Sarabun New" w:cs="TH Sarabun New"/>
          <w:b w:val="0"/>
          <w:i w:val="0"/>
          <w:sz w:val="28"/>
        </w:rPr>
        <w:t>1. Wang G, Qian C, Pan L, Qi H, Kunc L, Potdar S. Benchmarking language-agnostic intent classification for virtual assistant platforms. In: Proceedings of the Workshop on Multilingual Information Access. Seattle: Association for Computational Linguistics; 2022. p. 69-76. doi:10.18653/v1/2022.mia-1.7. Available from: https://aclanthology.org/2022.mia-1.7/</w:t>
      </w:r>
    </w:p>
    <w:p>
      <w:pPr>
        <w:keepNext w:val="0"/>
        <w:spacing w:line="360" w:lineRule="auto" w:after="0" w:before="0"/>
        <w:ind w:left="403" w:hanging="403"/>
        <w:jc w:val="both"/>
      </w:pPr>
      <w:r>
        <w:rPr>
          <w:rFonts w:ascii="TH Sarabun New" w:hAnsi="TH Sarabun New" w:eastAsia="TH Sarabun New" w:cs="TH Sarabun New"/>
          <w:b w:val="0"/>
          <w:i w:val="0"/>
          <w:sz w:val="28"/>
        </w:rPr>
        <w:t>2. Jarrar M, Birim A, Khalilia M, Erden M, Ghanem S. ArBanking77: intent detection neural model and a new dataset in Modern and Dialectical Arabic. In: Proceedings of ArabicNLP 2023. Singapore: Association for Computational Linguistics; 2023. p. 276-287. doi:10.18653/v1/2023.arabicnlp-1.22. Available from: https://aclanthology.org/2023.arabicnlp-1.22/</w:t>
      </w:r>
    </w:p>
    <w:p>
      <w:pPr>
        <w:keepNext w:val="0"/>
        <w:spacing w:line="360" w:lineRule="auto" w:after="0" w:before="0"/>
        <w:ind w:left="403" w:hanging="403"/>
        <w:jc w:val="both"/>
      </w:pPr>
      <w:r>
        <w:rPr>
          <w:rFonts w:ascii="TH Sarabun New" w:hAnsi="TH Sarabun New" w:eastAsia="TH Sarabun New" w:cs="TH Sarabun New"/>
          <w:b w:val="0"/>
          <w:i w:val="0"/>
          <w:sz w:val="28"/>
        </w:rPr>
        <w:t>3. McCallum A, Nigam K. A comparison of event models for Naive Bayes text classification. In: AAAI-98 Workshop on Learning for Text Categorization. AAAI Press; 1998. p. 41-48. Available from: https://www.cs.cmu.edu/~knigam/papers/multinomial-aaaiws98.pdf</w:t>
      </w:r>
    </w:p>
    <w:p>
      <w:pPr>
        <w:keepNext w:val="0"/>
        <w:spacing w:line="360" w:lineRule="auto" w:after="0" w:before="0"/>
        <w:ind w:left="403" w:hanging="403"/>
        <w:jc w:val="both"/>
      </w:pPr>
      <w:r>
        <w:t>4. Ollama. Generate a chat message [Internet]. Available from: https://docs.ollama.com/api/chat</w:t>
      </w:r>
    </w:p>
    <w:p>
      <w:pPr>
        <w:keepNext w:val="0"/>
        <w:spacing w:line="360" w:lineRule="auto" w:after="0" w:before="0"/>
        <w:ind w:left="403" w:hanging="403"/>
        <w:jc w:val="both"/>
      </w:pPr>
      <w:r>
        <w:rPr>
          <w:rFonts w:ascii="TH Sarabun New" w:hAnsi="TH Sarabun New" w:eastAsia="TH Sarabun New" w:cs="TH Sarabun New"/>
          <w:b w:val="0"/>
          <w:i w:val="0"/>
          <w:sz w:val="28"/>
        </w:rPr>
        <w:t>5. Qwen Team. Qwen2.5 technical report [Internet]. arXiv:2412.15115; 2024. Available from: https://arxiv.org/abs/2412.15115</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H Sarabun New" w:hAnsi="TH Sarabun New" w:eastAsia="TH Sarabun New" w:cs="TH Sarabun New"/>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0" w:line="360" w:lineRule="auto"/>
      <w:outlineLvl w:val="0"/>
    </w:pPr>
    <w:rPr>
      <w:rFonts w:asciiTheme="majorHAnsi" w:eastAsiaTheme="majorEastAsia" w:hAnsiTheme="majorHAnsi" w:cstheme="majorBidi" w:ascii="TH Sarabun New" w:hAnsi="TH Sarabun New" w:eastAsia="TH Sarabun New" w:cs="TH Sarabun New"/>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80" w:after="0" w:line="360" w:lineRule="auto"/>
      <w:outlineLvl w:val="1"/>
    </w:pPr>
    <w:rPr>
      <w:rFonts w:asciiTheme="majorHAnsi" w:eastAsiaTheme="majorEastAsia" w:hAnsiTheme="majorHAnsi" w:cstheme="majorBidi" w:ascii="TH Sarabun New" w:hAnsi="TH Sarabun New" w:eastAsia="TH Sarabun New" w:cs="TH Sarabun New"/>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pPr>
    <w:rPr>
      <w:rFonts w:ascii="TH Sarabun New" w:hAnsi="TH Sarabun New" w:eastAsia="TH Sarabun New" w:cs="TH Sarabun New"/>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bilingual hybrid intent classifier for a local-first perfume e-commerce assistant</dc:title>
  <dc:subject>Anonymous preliminary research manuscript prepared according to journal author guidance</dc:subject>
  <dc:creator>Muaadh Othman Hamood Alzain; Naif Fawaz Salem Barashed</dc:creator>
  <cp:keywords/>
  <dc:description>generated by python-docx</dc:description>
  <cp:lastModifiedBy/>
  <cp:revision>1</cp:revision>
  <dcterms:created xsi:type="dcterms:W3CDTF">2013-12-23T23:15:00Z</dcterms:created>
  <dcterms:modified xsi:type="dcterms:W3CDTF">2013-12-23T23:15:00Z</dcterms:modified>
  <cp:category/>
</cp:coreProperties>
</file>