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Evaluación Parcial 2 — ISY0101 Ingeniería de Soluciones con IA</w:t>
      </w:r>
    </w:p>
    <w:p>
      <w:pPr>
        <w:jc w:val="center"/>
      </w:pPr>
      <w:r>
        <w:rPr>
          <w:b/>
          <w:i w:val="0"/>
          <w:sz w:val="30"/>
        </w:rPr>
        <w:t>Agente de ahorro de TodoBarato: consulta, escritura y razonamiento con memoria y replanificación</w:t>
      </w:r>
    </w:p>
    <w:p>
      <w:pPr>
        <w:jc w:val="center"/>
      </w:pPr>
      <w:r>
        <w:rPr>
          <w:b w:val="0"/>
          <w:i w:val="0"/>
          <w:sz w:val="18"/>
        </w:rPr>
        <w:t>Integrantes: Nicolas Estefania · Ariel Espinoza   |   Docente: [NOMBRE DEL DOCENTE]   |   Repositorio: github.com/niKo-ing/PROYECTOENGINEER-AI (rama ep2-agente)</w:t>
      </w:r>
    </w:p>
    <w:p>
      <w:pPr>
        <w:pStyle w:val="Heading1"/>
      </w:pPr>
      <w:r>
        <w:t>1. Caso y objetivo</w:t>
      </w:r>
    </w:p>
    <w:p>
      <w:r>
        <w:rPr>
          <w:b w:val="0"/>
          <w:i w:val="0"/>
        </w:rPr>
        <w:t>TodoBarato es un comparador de precios de tecnología en Chile (catálogo, ofertas por tienda e historial de precios). El flujo automatizado es el de un asesor de compras: el cliente dice qué necesita y cuánto puede gastar, y el agente busca, compara tiendas, juzga con el historial si el precio está inflado y deja registro en la base de datos (una alerta de precio o una lista de compra). Además recuerda las preferencias del cliente entre conversaciones. Se construyó sobre el proyecto de la evaluación anterior (catálogo, ofertas, perfil de usuario y capa de embeddings), que no se modificó.</w:t>
      </w:r>
    </w:p>
    <w:p>
      <w:pPr>
        <w:pStyle w:val="Heading1"/>
      </w:pPr>
      <w:r>
        <w:t>2. Diseño e implementación del agente</w:t>
      </w:r>
    </w:p>
    <w:p>
      <w:r>
        <w:rPr>
          <w:b w:val="0"/>
          <w:i w:val="0"/>
        </w:rPr>
        <w:t>El agente es un grafo de LangGraph (langgraph 1.2) con Gemini como modelo, conectado mediante langchain-google-genai. Se ejecuta detrás de un endpoint FastAPI (POST /api/v1/agent/run) y devuelve la respuesta, el plan, las herramientas usadas y la traza completa del turno.</w:t>
      </w:r>
    </w:p>
    <w:p>
      <w:pPr>
        <w:jc w:val="center"/>
      </w:pPr>
      <w:r>
        <w:drawing>
          <wp:inline xmlns:a="http://schemas.openxmlformats.org/drawingml/2006/main" xmlns:pic="http://schemas.openxmlformats.org/drawingml/2006/picture">
            <wp:extent cx="5868000" cy="2639272"/>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868000" cy="2639272"/>
                    </a:xfrm>
                    <a:prstGeom prst="rect"/>
                  </pic:spPr>
                </pic:pic>
              </a:graphicData>
            </a:graphic>
          </wp:inline>
        </w:drawing>
      </w:r>
    </w:p>
    <w:p>
      <w:pPr>
        <w:jc w:val="center"/>
      </w:pPr>
      <w:r>
        <w:rPr>
          <w:b w:val="0"/>
          <w:i/>
          <w:sz w:val="17"/>
        </w:rPr>
        <w:t>Figura 1. Orquestación de componentes.</w:t>
      </w:r>
    </w:p>
    <w:tbl>
      <w:tblPr>
        <w:tblStyle w:val="TableGrid"/>
        <w:tblW w:type="auto" w:w="0"/>
        <w:jc w:val="center"/>
        <w:tblLook w:firstColumn="1" w:firstRow="1" w:lastColumn="0" w:lastRow="0" w:noHBand="0" w:noVBand="1" w:val="04A0"/>
      </w:tblPr>
      <w:tblGrid>
        <w:gridCol w:w="3324"/>
        <w:gridCol w:w="3324"/>
        <w:gridCol w:w="3324"/>
      </w:tblGrid>
      <w:tr>
        <w:tc>
          <w:tcPr>
            <w:tcW w:type="dxa" w:w="1247"/>
            <w:shd w:val="clear" w:color="auto" w:fill="DBEAFE"/>
          </w:tcPr>
          <w:p>
            <w:pPr>
              <w:spacing w:after="0"/>
            </w:pPr>
            <w:r/>
            <w:r>
              <w:rPr>
                <w:b/>
                <w:sz w:val="17"/>
              </w:rPr>
              <w:t>Tipo</w:t>
            </w:r>
          </w:p>
        </w:tc>
        <w:tc>
          <w:tcPr>
            <w:tcW w:type="dxa" w:w="4309"/>
            <w:shd w:val="clear" w:color="auto" w:fill="DBEAFE"/>
          </w:tcPr>
          <w:p>
            <w:pPr>
              <w:spacing w:after="0"/>
            </w:pPr>
            <w:r/>
            <w:r>
              <w:rPr>
                <w:b/>
                <w:sz w:val="17"/>
              </w:rPr>
              <w:t>Herramienta</w:t>
            </w:r>
          </w:p>
        </w:tc>
        <w:tc>
          <w:tcPr>
            <w:tcW w:type="dxa" w:w="4082"/>
            <w:shd w:val="clear" w:color="auto" w:fill="DBEAFE"/>
          </w:tcPr>
          <w:p>
            <w:pPr>
              <w:spacing w:after="0"/>
            </w:pPr>
            <w:r/>
            <w:r>
              <w:rPr>
                <w:b/>
                <w:sz w:val="17"/>
              </w:rPr>
              <w:t>Función</w:t>
            </w:r>
          </w:p>
        </w:tc>
      </w:tr>
      <w:tr>
        <w:tc>
          <w:tcPr>
            <w:tcW w:type="dxa" w:w="1247"/>
          </w:tcPr>
          <w:p>
            <w:pPr>
              <w:spacing w:after="0"/>
            </w:pPr>
            <w:r/>
            <w:r>
              <w:rPr>
                <w:sz w:val="17"/>
              </w:rPr>
              <w:t>Consulta</w:t>
            </w:r>
          </w:p>
        </w:tc>
        <w:tc>
          <w:tcPr>
            <w:tcW w:type="dxa" w:w="4309"/>
          </w:tcPr>
          <w:p>
            <w:pPr>
              <w:spacing w:after="0"/>
            </w:pPr>
            <w:r/>
            <w:r>
              <w:rPr>
                <w:sz w:val="17"/>
              </w:rPr>
              <w:t>search_products, get_product_offers, get_price_history, compare_products, get_user_profile</w:t>
            </w:r>
          </w:p>
        </w:tc>
        <w:tc>
          <w:tcPr>
            <w:tcW w:type="dxa" w:w="4082"/>
          </w:tcPr>
          <w:p>
            <w:pPr>
              <w:spacing w:after="0"/>
            </w:pPr>
            <w:r/>
            <w:r>
              <w:rPr>
                <w:sz w:val="17"/>
              </w:rPr>
              <w:t>Reutilizan los servicios del catálogo existentes</w:t>
            </w:r>
          </w:p>
        </w:tc>
      </w:tr>
      <w:tr>
        <w:tc>
          <w:tcPr>
            <w:tcW w:type="dxa" w:w="1247"/>
          </w:tcPr>
          <w:p>
            <w:pPr>
              <w:spacing w:after="0"/>
            </w:pPr>
            <w:r/>
            <w:r>
              <w:rPr>
                <w:sz w:val="17"/>
              </w:rPr>
              <w:t>Consulta</w:t>
            </w:r>
          </w:p>
        </w:tc>
        <w:tc>
          <w:tcPr>
            <w:tcW w:type="dxa" w:w="4309"/>
          </w:tcPr>
          <w:p>
            <w:pPr>
              <w:spacing w:after="0"/>
            </w:pPr>
            <w:r/>
            <w:r>
              <w:rPr>
                <w:sz w:val="17"/>
              </w:rPr>
              <w:t>recall_memory, check_price_alerts</w:t>
            </w:r>
          </w:p>
        </w:tc>
        <w:tc>
          <w:tcPr>
            <w:tcW w:type="dxa" w:w="4082"/>
          </w:tcPr>
          <w:p>
            <w:pPr>
              <w:spacing w:after="0"/>
            </w:pPr>
            <w:r/>
            <w:r>
              <w:rPr>
                <w:sz w:val="17"/>
              </w:rPr>
              <w:t>Búsqueda semántica en memoria; revisa alertas contra los precios de hoy</w:t>
            </w:r>
          </w:p>
        </w:tc>
      </w:tr>
      <w:tr>
        <w:tc>
          <w:tcPr>
            <w:tcW w:type="dxa" w:w="1247"/>
          </w:tcPr>
          <w:p>
            <w:pPr>
              <w:spacing w:after="0"/>
            </w:pPr>
            <w:r/>
            <w:r>
              <w:rPr>
                <w:sz w:val="17"/>
              </w:rPr>
              <w:t>Razonamiento</w:t>
            </w:r>
          </w:p>
        </w:tc>
        <w:tc>
          <w:tcPr>
            <w:tcW w:type="dxa" w:w="4309"/>
          </w:tcPr>
          <w:p>
            <w:pPr>
              <w:spacing w:after="0"/>
            </w:pPr>
            <w:r/>
            <w:r>
              <w:rPr>
                <w:sz w:val="17"/>
              </w:rPr>
              <w:t>analyze_price_trend</w:t>
            </w:r>
          </w:p>
        </w:tc>
        <w:tc>
          <w:tcPr>
            <w:tcW w:type="dxa" w:w="4082"/>
          </w:tcPr>
          <w:p>
            <w:pPr>
              <w:spacing w:after="0"/>
            </w:pPr>
            <w:r/>
            <w:r>
              <w:rPr>
                <w:sz w:val="17"/>
              </w:rPr>
              <w:t>Veredicto numérico: buen_momento / precio_normal / esperar, según mínimo y promedio históricos</w:t>
            </w:r>
          </w:p>
        </w:tc>
      </w:tr>
      <w:tr>
        <w:tc>
          <w:tcPr>
            <w:tcW w:type="dxa" w:w="1247"/>
          </w:tcPr>
          <w:p>
            <w:pPr>
              <w:spacing w:after="0"/>
            </w:pPr>
            <w:r/>
            <w:r>
              <w:rPr>
                <w:sz w:val="17"/>
              </w:rPr>
              <w:t>Escritura</w:t>
            </w:r>
          </w:p>
        </w:tc>
        <w:tc>
          <w:tcPr>
            <w:tcW w:type="dxa" w:w="4309"/>
          </w:tcPr>
          <w:p>
            <w:pPr>
              <w:spacing w:after="0"/>
            </w:pPr>
            <w:r/>
            <w:r>
              <w:rPr>
                <w:sz w:val="17"/>
              </w:rPr>
              <w:t>create_price_alert, save_shopping_list, remember_preference</w:t>
            </w:r>
          </w:p>
        </w:tc>
        <w:tc>
          <w:tcPr>
            <w:tcW w:type="dxa" w:w="4082"/>
          </w:tcPr>
          <w:p>
            <w:pPr>
              <w:spacing w:after="0"/>
            </w:pPr>
            <w:r/>
            <w:r>
              <w:rPr>
                <w:sz w:val="17"/>
              </w:rPr>
              <w:t>Escriben en la base: alerta, lista con total vs. presupuesto, preferencia del usuario</w:t>
            </w:r>
          </w:p>
        </w:tc>
      </w:tr>
    </w:tbl>
    <w:p>
      <w:pPr>
        <w:spacing w:after="0"/>
      </w:pPr>
    </w:p>
    <w:p>
      <w:r>
        <w:rPr>
          <w:b w:val="0"/>
          <w:i w:val="0"/>
        </w:rPr>
        <w:t>Las herramientas validan sus argumentos con Pydantic y, ante un error de negocio, devuelven el error como observación (ToolException) en vez de abortar, de modo que el agente pueda reaccionar. Cada hilo de conversación se ata al usuario (thread_id = usuario:hilo) y los fallos del proveedor del modelo se traducen a 429/503 en lugar de un error de servidor.</w:t>
      </w:r>
    </w:p>
    <w:p>
      <w:pPr>
        <w:pStyle w:val="Heading1"/>
      </w:pPr>
      <w:r>
        <w:t>3. Memoria y recuperación de contexto</w:t>
      </w:r>
    </w:p>
    <w:p>
      <w:pPr>
        <w:pStyle w:val="ListBullet"/>
        <w:spacing w:after="20"/>
      </w:pPr>
      <w:r>
        <w:rPr>
          <w:b/>
        </w:rPr>
        <w:t>Corto plazo:</w:t>
      </w:r>
      <w:r>
        <w:t xml:space="preserve"> el historial de cada hilo vive en un checkpointer de LangGraph (SqliteSaver en local; PostgresSaver cuando la app usa Postgres, probado con dos conexiones sobre un Postgres 16 real): sobrevive a reinicios del proceso y permite retomar una tarea. Al modelo solo se le envía una ventana de los últimos 24 mensajes (sin dejar un ToolMessage huérfano) más un resumen determinista de lo recortado.</w:t>
      </w:r>
    </w:p>
    <w:p>
      <w:pPr>
        <w:pStyle w:val="ListBullet"/>
        <w:spacing w:after="20"/>
      </w:pPr>
      <w:r>
        <w:rPr>
          <w:b/>
        </w:rPr>
        <w:t>Largo plazo:</w:t>
      </w:r>
      <w:r>
        <w:t xml:space="preserve"> tabla agent_memories (preferencias, hechos y episodios de cada tarea) con embedding. La recuperación combina memoria núcleo (las preferencias de importancia ≥ 4 se cargan siempre) y búsqueda semántica con puntaje 0,75·similitud + 0,15·importancia + 0,10·recencia (vida media 45 días). No guarda duplicados (similitud ≥ 0,93), está aislada por usuario y, si falla el embedding, busca por palabras.</w:t>
      </w:r>
    </w:p>
    <w:p>
      <w:r>
        <w:rPr>
          <w:b w:val="0"/>
          <w:i w:val="0"/>
        </w:rPr>
        <w:t>Verificación: una preferencia declarada en un hilo (“Prefiero Samsung y no quiero Huawei”) aparece en la memoria usada por un hilo nuevo (“Recomiéndame un celular”) aunque no compartan palabras. La prueba opt-in contra Gemini real confirma que el ranking por embeddings acierta sin coincidencia de palabras (“laptop económico para estudiar” → “Prefiero notebooks baratos para la universidad”).</w:t>
      </w:r>
    </w:p>
    <w:p>
      <w:pPr>
        <w:pStyle w:val="Heading1"/>
      </w:pPr>
      <w:r>
        <w:t>4. Planificación y toma de decisiones adaptativas</w:t>
      </w:r>
    </w:p>
    <w:p>
      <w:r>
        <w:rPr>
          <w:b w:val="0"/>
          <w:i w:val="0"/>
        </w:rPr>
        <w:t>El nodo plan pide al LLM un plan JSON con prioridades 1–3; si la respuesta es inválida se usa un plan por reglas, de modo que el agente nunca queda sin plan. Tras cada ronda de herramientas, el nodo reflect aplica reglas deterministas (diagnose) y decide si replanificar:</w:t>
      </w:r>
    </w:p>
    <w:p>
      <w:pPr>
        <w:jc w:val="center"/>
      </w:pPr>
      <w:r>
        <w:drawing>
          <wp:inline xmlns:a="http://schemas.openxmlformats.org/drawingml/2006/main" xmlns:pic="http://schemas.openxmlformats.org/drawingml/2006/picture">
            <wp:extent cx="5508000" cy="2819128"/>
            <wp:docPr id="2" name="Picture 2"/>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508000" cy="2819128"/>
                    </a:xfrm>
                    <a:prstGeom prst="rect"/>
                  </pic:spPr>
                </pic:pic>
              </a:graphicData>
            </a:graphic>
          </wp:inline>
        </w:drawing>
      </w:r>
    </w:p>
    <w:p>
      <w:pPr>
        <w:jc w:val="center"/>
      </w:pPr>
      <w:r>
        <w:rPr>
          <w:b w:val="0"/>
          <w:i/>
          <w:sz w:val="17"/>
        </w:rPr>
        <w:t>Figura 2. Flujo del grafo y ciclo de replanificación.</w:t>
      </w:r>
    </w:p>
    <w:tbl>
      <w:tblPr>
        <w:tblStyle w:val="TableGrid"/>
        <w:tblW w:type="auto" w:w="0"/>
        <w:jc w:val="center"/>
        <w:tblLook w:firstColumn="1" w:firstRow="1" w:lastColumn="0" w:lastRow="0" w:noHBand="0" w:noVBand="1" w:val="04A0"/>
      </w:tblPr>
      <w:tblGrid>
        <w:gridCol w:w="3324"/>
        <w:gridCol w:w="3324"/>
        <w:gridCol w:w="3324"/>
      </w:tblGrid>
      <w:tr>
        <w:tc>
          <w:tcPr>
            <w:tcW w:type="dxa" w:w="2948"/>
            <w:shd w:val="clear" w:color="auto" w:fill="DBEAFE"/>
          </w:tcPr>
          <w:p>
            <w:pPr>
              <w:spacing w:after="0"/>
            </w:pPr>
            <w:r/>
            <w:r>
              <w:rPr>
                <w:b/>
                <w:sz w:val="17"/>
              </w:rPr>
              <w:t>Observación</w:t>
            </w:r>
          </w:p>
        </w:tc>
        <w:tc>
          <w:tcPr>
            <w:tcW w:type="dxa" w:w="2041"/>
            <w:shd w:val="clear" w:color="auto" w:fill="DBEAFE"/>
          </w:tcPr>
          <w:p>
            <w:pPr>
              <w:spacing w:after="0"/>
            </w:pPr>
            <w:r/>
            <w:r>
              <w:rPr>
                <w:b/>
                <w:sz w:val="17"/>
              </w:rPr>
              <w:t>Diagnóstico</w:t>
            </w:r>
          </w:p>
        </w:tc>
        <w:tc>
          <w:tcPr>
            <w:tcW w:type="dxa" w:w="4649"/>
            <w:shd w:val="clear" w:color="auto" w:fill="DBEAFE"/>
          </w:tcPr>
          <w:p>
            <w:pPr>
              <w:spacing w:after="0"/>
            </w:pPr>
            <w:r/>
            <w:r>
              <w:rPr>
                <w:b/>
                <w:sz w:val="17"/>
              </w:rPr>
              <w:t>Adaptación</w:t>
            </w:r>
          </w:p>
        </w:tc>
      </w:tr>
      <w:tr>
        <w:tc>
          <w:tcPr>
            <w:tcW w:type="dxa" w:w="2948"/>
          </w:tcPr>
          <w:p>
            <w:pPr>
              <w:spacing w:after="0"/>
            </w:pPr>
            <w:r/>
            <w:r>
              <w:rPr>
                <w:sz w:val="17"/>
              </w:rPr>
              <w:t>Búsqueda con 0 resultados</w:t>
            </w:r>
          </w:p>
        </w:tc>
        <w:tc>
          <w:tcPr>
            <w:tcW w:type="dxa" w:w="2041"/>
          </w:tcPr>
          <w:p>
            <w:pPr>
              <w:spacing w:after="0"/>
            </w:pPr>
            <w:r/>
            <w:r>
              <w:rPr>
                <w:sz w:val="17"/>
              </w:rPr>
              <w:t>sin_resultados</w:t>
            </w:r>
          </w:p>
        </w:tc>
        <w:tc>
          <w:tcPr>
            <w:tcW w:type="dxa" w:w="4649"/>
          </w:tcPr>
          <w:p>
            <w:pPr>
              <w:spacing w:after="0"/>
            </w:pPr>
            <w:r/>
            <w:r>
              <w:rPr>
                <w:sz w:val="17"/>
              </w:rPr>
              <w:t>Repetir con términos más generales y sin filtro de precio</w:t>
            </w:r>
          </w:p>
        </w:tc>
      </w:tr>
      <w:tr>
        <w:tc>
          <w:tcPr>
            <w:tcW w:type="dxa" w:w="2948"/>
          </w:tcPr>
          <w:p>
            <w:pPr>
              <w:spacing w:after="0"/>
            </w:pPr>
            <w:r/>
            <w:r>
              <w:rPr>
                <w:sz w:val="17"/>
              </w:rPr>
              <w:t>Todo cuesta más que el presupuesto</w:t>
            </w:r>
          </w:p>
        </w:tc>
        <w:tc>
          <w:tcPr>
            <w:tcW w:type="dxa" w:w="2041"/>
          </w:tcPr>
          <w:p>
            <w:pPr>
              <w:spacing w:after="0"/>
            </w:pPr>
            <w:r/>
            <w:r>
              <w:rPr>
                <w:sz w:val="17"/>
              </w:rPr>
              <w:t>sobre_presupuesto</w:t>
            </w:r>
          </w:p>
        </w:tc>
        <w:tc>
          <w:tcPr>
            <w:tcW w:type="dxa" w:w="4649"/>
          </w:tcPr>
          <w:p>
            <w:pPr>
              <w:spacing w:after="0"/>
            </w:pPr>
            <w:r/>
            <w:r>
              <w:rPr>
                <w:sz w:val="17"/>
              </w:rPr>
              <w:t>Gama inferior; si no hay, alerta de precio e informar cuánto falta</w:t>
            </w:r>
          </w:p>
        </w:tc>
      </w:tr>
      <w:tr>
        <w:tc>
          <w:tcPr>
            <w:tcW w:type="dxa" w:w="2948"/>
          </w:tcPr>
          <w:p>
            <w:pPr>
              <w:spacing w:after="0"/>
            </w:pPr>
            <w:r/>
            <w:r>
              <w:rPr>
                <w:sz w:val="17"/>
              </w:rPr>
              <w:t>Todas las ofertas sin stock</w:t>
            </w:r>
          </w:p>
        </w:tc>
        <w:tc>
          <w:tcPr>
            <w:tcW w:type="dxa" w:w="2041"/>
          </w:tcPr>
          <w:p>
            <w:pPr>
              <w:spacing w:after="0"/>
            </w:pPr>
            <w:r/>
            <w:r>
              <w:rPr>
                <w:sz w:val="17"/>
              </w:rPr>
              <w:t>sin_stock</w:t>
            </w:r>
          </w:p>
        </w:tc>
        <w:tc>
          <w:tcPr>
            <w:tcW w:type="dxa" w:w="4649"/>
          </w:tcPr>
          <w:p>
            <w:pPr>
              <w:spacing w:after="0"/>
            </w:pPr>
            <w:r/>
            <w:r>
              <w:rPr>
                <w:sz w:val="17"/>
              </w:rPr>
              <w:t>Descartar y elegir otra tienda o candidato</w:t>
            </w:r>
          </w:p>
        </w:tc>
      </w:tr>
      <w:tr>
        <w:tc>
          <w:tcPr>
            <w:tcW w:type="dxa" w:w="2948"/>
          </w:tcPr>
          <w:p>
            <w:pPr>
              <w:spacing w:after="0"/>
            </w:pPr>
            <w:r/>
            <w:r>
              <w:rPr>
                <w:sz w:val="17"/>
              </w:rPr>
              <w:t>Veredicto de tendencia «esperar»</w:t>
            </w:r>
          </w:p>
        </w:tc>
        <w:tc>
          <w:tcPr>
            <w:tcW w:type="dxa" w:w="2041"/>
          </w:tcPr>
          <w:p>
            <w:pPr>
              <w:spacing w:after="0"/>
            </w:pPr>
            <w:r/>
            <w:r>
              <w:rPr>
                <w:sz w:val="17"/>
              </w:rPr>
              <w:t>precio_alto</w:t>
            </w:r>
          </w:p>
        </w:tc>
        <w:tc>
          <w:tcPr>
            <w:tcW w:type="dxa" w:w="4649"/>
          </w:tcPr>
          <w:p>
            <w:pPr>
              <w:spacing w:after="0"/>
            </w:pPr>
            <w:r/>
            <w:r>
              <w:rPr>
                <w:sz w:val="17"/>
              </w:rPr>
              <w:t>No comprar hoy; alerta cerca del promedio histórico</w:t>
            </w:r>
          </w:p>
        </w:tc>
      </w:tr>
      <w:tr>
        <w:tc>
          <w:tcPr>
            <w:tcW w:type="dxa" w:w="2948"/>
          </w:tcPr>
          <w:p>
            <w:pPr>
              <w:spacing w:after="0"/>
            </w:pPr>
            <w:r/>
            <w:r>
              <w:rPr>
                <w:sz w:val="17"/>
              </w:rPr>
              <w:t>Herramienta devolvió error</w:t>
            </w:r>
          </w:p>
        </w:tc>
        <w:tc>
          <w:tcPr>
            <w:tcW w:type="dxa" w:w="2041"/>
          </w:tcPr>
          <w:p>
            <w:pPr>
              <w:spacing w:after="0"/>
            </w:pPr>
            <w:r/>
            <w:r>
              <w:rPr>
                <w:sz w:val="17"/>
              </w:rPr>
              <w:t>error_herramienta</w:t>
            </w:r>
          </w:p>
        </w:tc>
        <w:tc>
          <w:tcPr>
            <w:tcW w:type="dxa" w:w="4649"/>
          </w:tcPr>
          <w:p>
            <w:pPr>
              <w:spacing w:after="0"/>
            </w:pPr>
            <w:r/>
            <w:r>
              <w:rPr>
                <w:sz w:val="17"/>
              </w:rPr>
              <w:t>Corregir parámetros y reintentar una vez</w:t>
            </w:r>
          </w:p>
        </w:tc>
      </w:tr>
    </w:tbl>
    <w:p>
      <w:pPr>
        <w:spacing w:after="0"/>
      </w:pPr>
    </w:p>
    <w:p>
      <w:r>
        <w:rPr>
          <w:b w:val="0"/>
          <w:i w:val="0"/>
        </w:rPr>
        <w:t>Dos frenos evitan bucles: máximo 2 replanificaciones por pedido y cada motivo replanifica una sola vez. Un replan conserva los pasos ya hechos y no los duplica. Un tope de 10 pasos cierra las llamadas pendientes y responde con lo logrado.</w:t>
      </w:r>
    </w:p>
    <w:p>
      <w:pPr>
        <w:pStyle w:val="Heading1"/>
      </w:pPr>
      <w:r>
        <w:t>5. Pruebas y evidencia</w:t>
      </w:r>
    </w:p>
    <w:tbl>
      <w:tblPr>
        <w:tblStyle w:val="TableGrid"/>
        <w:tblW w:type="auto" w:w="0"/>
        <w:jc w:val="center"/>
        <w:tblLook w:firstColumn="1" w:firstRow="1" w:lastColumn="0" w:lastRow="0" w:noHBand="0" w:noVBand="1" w:val="04A0"/>
      </w:tblPr>
      <w:tblGrid>
        <w:gridCol w:w="4986"/>
        <w:gridCol w:w="4986"/>
      </w:tblGrid>
      <w:tr>
        <w:tc>
          <w:tcPr>
            <w:tcW w:type="dxa" w:w="3175"/>
            <w:shd w:val="clear" w:color="auto" w:fill="DBEAFE"/>
          </w:tcPr>
          <w:p>
            <w:pPr>
              <w:spacing w:after="0"/>
            </w:pPr>
            <w:r/>
            <w:r>
              <w:rPr>
                <w:b/>
                <w:sz w:val="17"/>
              </w:rPr>
              <w:t>Evidencia</w:t>
            </w:r>
          </w:p>
        </w:tc>
        <w:tc>
          <w:tcPr>
            <w:tcW w:type="dxa" w:w="6463"/>
            <w:shd w:val="clear" w:color="auto" w:fill="DBEAFE"/>
          </w:tcPr>
          <w:p>
            <w:pPr>
              <w:spacing w:after="0"/>
            </w:pPr>
            <w:r/>
            <w:r>
              <w:rPr>
                <w:b/>
                <w:sz w:val="17"/>
              </w:rPr>
              <w:t>Resultado</w:t>
            </w:r>
          </w:p>
        </w:tc>
      </w:tr>
      <w:tr>
        <w:tc>
          <w:tcPr>
            <w:tcW w:type="dxa" w:w="3175"/>
          </w:tcPr>
          <w:p>
            <w:pPr>
              <w:spacing w:after="0"/>
            </w:pPr>
            <w:r/>
            <w:r>
              <w:rPr>
                <w:sz w:val="17"/>
              </w:rPr>
              <w:t>Suite de pruebas del agente (tests/agent)</w:t>
            </w:r>
          </w:p>
        </w:tc>
        <w:tc>
          <w:tcPr>
            <w:tcW w:type="dxa" w:w="6463"/>
          </w:tcPr>
          <w:p>
            <w:pPr>
              <w:spacing w:after="0"/>
            </w:pPr>
            <w:r/>
            <w:r>
              <w:rPr>
                <w:sz w:val="17"/>
              </w:rPr>
              <w:t>88 pruebas pasan (planificación, memoria, herramientas, grafo, API); suite completa del repositorio: 873 pasan, 3 opt-in omitidas</w:t>
            </w:r>
          </w:p>
        </w:tc>
      </w:tr>
      <w:tr>
        <w:tc>
          <w:tcPr>
            <w:tcW w:type="dxa" w:w="3175"/>
          </w:tcPr>
          <w:p>
            <w:pPr>
              <w:spacing w:after="0"/>
            </w:pPr>
            <w:r/>
            <w:r>
              <w:rPr>
                <w:sz w:val="17"/>
              </w:rPr>
              <w:t>Escenarios de extremo a extremo</w:t>
            </w:r>
          </w:p>
        </w:tc>
        <w:tc>
          <w:tcPr>
            <w:tcW w:type="dxa" w:w="6463"/>
          </w:tcPr>
          <w:p>
            <w:pPr>
              <w:spacing w:after="0"/>
            </w:pPr>
            <w:r/>
            <w:r>
              <w:rPr>
                <w:sz w:val="17"/>
              </w:rPr>
              <w:t>Compra con lista guardada; replan sin_resultados → sobre_presupuesto con alerta; precio_alto → alerta en vez de lista; sin_stock; error de herramienta; tope de pasos; memoria entre hilos y usuarios; reinicio del proceso; alerta que se cumple en un turno posterior</w:t>
            </w:r>
          </w:p>
        </w:tc>
      </w:tr>
      <w:tr>
        <w:tc>
          <w:tcPr>
            <w:tcW w:type="dxa" w:w="3175"/>
          </w:tcPr>
          <w:p>
            <w:pPr>
              <w:spacing w:after="0"/>
            </w:pPr>
            <w:r/>
            <w:r>
              <w:rPr>
                <w:sz w:val="17"/>
              </w:rPr>
              <w:t>Demo guionada (scripts/demo_agente.py)</w:t>
            </w:r>
          </w:p>
        </w:tc>
        <w:tc>
          <w:tcPr>
            <w:tcW w:type="dxa" w:w="6463"/>
          </w:tcPr>
          <w:p>
            <w:pPr>
              <w:spacing w:after="0"/>
            </w:pPr>
            <w:r/>
            <w:r>
              <w:rPr>
                <w:sz w:val="17"/>
              </w:rPr>
              <w:t>5 historias con traza completa, determinista y sin red: docs/agente/evidencia/demo_guionada.txt</w:t>
            </w:r>
          </w:p>
        </w:tc>
      </w:tr>
      <w:tr>
        <w:tc>
          <w:tcPr>
            <w:tcW w:type="dxa" w:w="3175"/>
          </w:tcPr>
          <w:p>
            <w:pPr>
              <w:spacing w:after="0"/>
            </w:pPr>
            <w:r/>
            <w:r>
              <w:rPr>
                <w:sz w:val="17"/>
              </w:rPr>
              <w:t>Demo con Gemini real (--live)</w:t>
            </w:r>
          </w:p>
        </w:tc>
        <w:tc>
          <w:tcPr>
            <w:tcW w:type="dxa" w:w="6463"/>
          </w:tcPr>
          <w:p>
            <w:pPr>
              <w:spacing w:after="0"/>
            </w:pPr>
            <w:r/>
            <w:r>
              <w:rPr>
                <w:sz w:val="17"/>
              </w:rPr>
              <w:t>Historias 1 a 3 completas con el mismo comportamiento adaptativo (replan por sin_resultados, sobre_presupuesto y precio_alto; alertas y lista creadas); la cuota gratuita se agotó en la historia 4 y el agente lo informó sin caerse: docs/agente/evidencia/demo_gemini.txt</w:t>
            </w:r>
          </w:p>
        </w:tc>
      </w:tr>
      <w:tr>
        <w:tc>
          <w:tcPr>
            <w:tcW w:type="dxa" w:w="3175"/>
          </w:tcPr>
          <w:p>
            <w:pPr>
              <w:spacing w:after="0"/>
            </w:pPr>
            <w:r/>
            <w:r>
              <w:rPr>
                <w:sz w:val="17"/>
              </w:rPr>
              <w:t>Pruebas en vivo (tests/agent/test_live_gemini.py)</w:t>
            </w:r>
          </w:p>
        </w:tc>
        <w:tc>
          <w:tcPr>
            <w:tcW w:type="dxa" w:w="6463"/>
          </w:tcPr>
          <w:p>
            <w:pPr>
              <w:spacing w:after="0"/>
            </w:pPr>
            <w:r/>
            <w:r>
              <w:rPr>
                <w:sz w:val="17"/>
              </w:rPr>
              <w:t>2 pasan: ranking semántico con embeddings reales y tarea de compra completa dentro del presupuesto</w:t>
            </w:r>
          </w:p>
        </w:tc>
      </w:tr>
    </w:tbl>
    <w:p>
      <w:pPr>
        <w:spacing w:after="0"/>
      </w:pPr>
    </w:p>
    <w:p>
      <w:r>
        <w:rPr>
          <w:b w:val="0"/>
          <w:i w:val="0"/>
        </w:rPr>
        <w:t>Un hallazgo de la evidencia en vivo: Gemini escribe planes más escuetos que el plan por reglas (a veces solo nombres de herramientas) y, aun así, el agente completó las tareas. En las pruebas con el modelo guionado, este es un doble determinista que reacciona a las observaciones: sirve para probar el grafo, no la calidad de Gemini; esa se contrastó con la ejecución en vivo.</w:t>
      </w:r>
    </w:p>
    <w:p>
      <w:pPr>
        <w:pStyle w:val="Heading1"/>
      </w:pPr>
      <w:r>
        <w:t>6. Justificación de la elección de componentes</w:t>
      </w:r>
    </w:p>
    <w:p>
      <w:pPr>
        <w:pStyle w:val="ListBullet"/>
        <w:spacing w:after="20"/>
      </w:pPr>
      <w:r>
        <w:rPr>
          <w:b/>
        </w:rPr>
        <w:t>LangGraph:</w:t>
      </w:r>
      <w:r>
        <w:t xml:space="preserve"> el flujo no es lineal: después de cada ronda de herramientas el agente puede volver a planificar (reflect → plan), necesita un estado compartido y un checkpointer persistente. El orquestador que ya existía en el proyecto era sin estado entre llamadas (el cliente reenviaba el historial), lo que no sirve para tareas largas. LangGraph entrega ciclo, estado tipado, ToolNode y checkpointers listos, y se integra con Gemini mediante langchain-google-genai, el mismo proveedor y las mismas variables GEMINI_* del resto de la app (IE2: compatibilidad).</w:t>
      </w:r>
    </w:p>
    <w:p>
      <w:pPr>
        <w:pStyle w:val="ListBullet"/>
        <w:spacing w:after="20"/>
      </w:pPr>
      <w:r>
        <w:rPr>
          <w:b/>
        </w:rPr>
        <w:t>Reglas deterministas para decidir:</w:t>
      </w:r>
      <w:r>
        <w:t xml:space="preserve"> las decisiones que no deben depender de que el modelo acierte (diagnóstico de la observación, veredicto comprar/esperar con mínimo y promedio históricos, extracción del presupuesto) son código. Así se prueban sin red y sin gastar cuota (88 pruebas), y el LLM queda para lo que sí le corresponde: proponer el plan, elegir herramientas y redactar.</w:t>
      </w:r>
    </w:p>
    <w:p>
      <w:pPr>
        <w:pStyle w:val="ListBullet"/>
        <w:spacing w:after="20"/>
      </w:pPr>
      <w:r>
        <w:rPr>
          <w:b/>
        </w:rPr>
        <w:t>Checkpointer:</w:t>
      </w:r>
      <w:r>
        <w:t xml:space="preserve"> SQLite en desarrollo y Postgres cuando la app usa Postgres (AGENT_CHECKPOINT=auto), probado con dos conexiones sobre un Postgres 16 real; es lo que permite escalar a varias réplicas sin perder los hilos (IE2: escalabilidad).</w:t>
      </w:r>
    </w:p>
    <w:p>
      <w:pPr>
        <w:pStyle w:val="ListBullet"/>
        <w:spacing w:after="20"/>
      </w:pPr>
      <w:r>
        <w:rPr>
          <w:b/>
        </w:rPr>
        <w:t>Memoria de largo plazo:</w:t>
      </w:r>
      <w:r>
        <w:t xml:space="preserve"> se reutilizó el EmbeddingProvider del RAG del proyecto. El puntaje combina similitud, importancia y recencia (idea de Park et al., 2023). La memoria núcleo (preferencias importantes siempre cargadas, idea de MemGPT) se agregó por una falla medida en nuestra propia demo: con embeddings locales, «Recomiéndame un celular» no recuperaba «Prefiero Samsung» porque no comparten palabras.</w:t>
      </w:r>
    </w:p>
    <w:p>
      <w:pPr>
        <w:pStyle w:val="ListBullet"/>
        <w:spacing w:after="20"/>
      </w:pPr>
      <w:r>
        <w:rPr>
          <w:b/>
        </w:rPr>
        <w:t>Herramientas de escritura:</w:t>
      </w:r>
      <w:r>
        <w:t xml:space="preserve"> el flujo organizacional exige dejar registro, no solo responder: alertas y listas persisten en la base, con argumentos validados por Pydantic y errores devueltos como observación para poder replanificar.</w:t>
      </w:r>
    </w:p>
    <w:p>
      <w:pPr>
        <w:pStyle w:val="ListBullet"/>
        <w:spacing w:after="20"/>
      </w:pPr>
      <w:r>
        <w:rPr>
          <w:b/>
        </w:rPr>
        <w:t>Límites conocidos:</w:t>
      </w:r>
      <w:r>
        <w:t xml:space="preserve"> el progreso del plan es aproximado (un paso cuenta como hecho si nombra una herramienta ejecutada), las alertas se evalúan cuando el usuario las revisa y no en segundo plano, la cuota gratuita de Gemini limitó la demo en vivo, y la configuración de Postgres con el pooler real de Supabase no se probó.</w:t>
      </w:r>
    </w:p>
    <w:p>
      <w:pPr>
        <w:pStyle w:val="Heading1"/>
      </w:pPr>
      <w:r>
        <w:t>7. Declaración de uso de inteligencia artificial</w:t>
      </w:r>
    </w:p>
    <w:p>
      <w:r>
        <w:rPr>
          <w:b w:val="0"/>
          <w:i w:val="0"/>
        </w:rPr>
        <w:t>Se usó Claude Code (Anthropic, modelo Claude Sonnet 5.5) como apoyo para: implementar el código del agente y sus pruebas, generar los diagramas con matplotlib, ejecutar las demos, redactar la documentación técnica (README, arquitectura y bocetos de diseño), armar la presentación y redactar un borrador de las secciones 6 (justificación) y 8 (conclusiones y reflexiones) de este informe. El equipo revisó y ejecutó el código, las pruebas y las demos, y validó que el contenido coincida con lo implementado. Las reflexiones individuales son borradores que cada integrante debe ajustar a su aporte real. Cita (APA, según bibliotecas.duoc.cl/ia): Anthropic. (2026). Claude Sonnet 5.5 [Modelo de lenguaje de gran tamaño]. https://claude.ai</w:t>
      </w:r>
    </w:p>
    <w:p>
      <w:pPr>
        <w:pStyle w:val="Heading1"/>
      </w:pPr>
      <w:r>
        <w:t>8. Conclusiones y reflexión individual</w:t>
      </w:r>
    </w:p>
    <w:p>
      <w:r>
        <w:rPr>
          <w:b w:val="0"/>
          <w:i w:val="0"/>
        </w:rPr>
        <w:t>Conclusiones del equipo. Se cumplió el objetivo: el agente integra consulta, razonamiento y escritura, y resuelve el flujo de asesoría de compras de punta a punta con registro en la base. Tres hallazgos medidos: (1) Gemini escribe planes más escuetos que el plan por reglas y aun así completó las tareas, por lo que el diagnóstico determinista fue lo que garantizó la adaptación; (2) los embeddings locales no capturan significado, lo que obligó a agregar la memoria núcleo; (3) separar el modelo guionado de las pruebas en vivo permitió verificar el grafo sin depender de la cuota. Como siguiente paso quedan las alertas evaluadas en segundo plano tras cada ingesta y la prueba con el pooler real de Supabase.</w:t>
      </w:r>
    </w:p>
    <w:p>
      <w:r>
        <w:rPr>
          <w:b w:val="0"/>
          <w:i w:val="0"/>
        </w:rPr>
        <w:t>Reflexión de Nicolas Estefania (borrador; ajustar a su aporte real). Aprendí a diseñar un agente como un grafo con estado y a decidir qué va en código y qué en el modelo. Lo más valioso fue ver que una falla (la memoria que no recuperaba la preferencia) se resolvía con una decisión de diseño y no con un prompt. Mi contribución fue [COMPLETAR: p. ej. el grafo, las herramientas, las pruebas].</w:t>
      </w:r>
    </w:p>
    <w:p>
      <w:r>
        <w:rPr>
          <w:b w:val="0"/>
          <w:i w:val="0"/>
        </w:rPr>
        <w:t>Reflexión de Ariel Espinoza (borrador; ajustar a su aporte real). Aprendí a probar un sistema con LLM: separar un doble determinista para el grafo de las pruebas en vivo y medir en lugar de suponer. Entendí por qué la memoria de largo plazo necesita importancia y recencia además de similitud. Mi contribución fue [COMPLETAR: p. ej. la memoria, la documentación, la demo].</w:t>
      </w:r>
    </w:p>
    <w:p>
      <w:pPr>
        <w:pStyle w:val="Heading1"/>
      </w:pPr>
      <w:r>
        <w:t>9. Referencias</w:t>
      </w:r>
    </w:p>
    <w:p>
      <w:pPr>
        <w:spacing w:after="40"/>
        <w:ind w:left="454" w:hanging="454"/>
      </w:pPr>
      <w:r>
        <w:rPr>
          <w:sz w:val="18"/>
        </w:rPr>
        <w:t>Google. (s. f.). Gemini API: Embeddings. https://ai.google.dev/gemini-api/docs/embeddings</w:t>
      </w:r>
    </w:p>
    <w:p>
      <w:pPr>
        <w:spacing w:after="40"/>
        <w:ind w:left="454" w:hanging="454"/>
      </w:pPr>
      <w:r>
        <w:rPr>
          <w:sz w:val="18"/>
        </w:rPr>
        <w:t>LangChain. (s. f.). LangGraph overview. https://langchain-ai.github.io/langgraph/</w:t>
      </w:r>
    </w:p>
    <w:p>
      <w:pPr>
        <w:spacing w:after="40"/>
        <w:ind w:left="454" w:hanging="454"/>
      </w:pPr>
      <w:r>
        <w:rPr>
          <w:sz w:val="18"/>
        </w:rPr>
        <w:t>Packer, C., Wooders, S., Lin, K., Fang, V., Patil, S. G., Stoica, I., &amp; Gonzalez, J. E. (2023). MemGPT: Towards LLMs as operating systems. arXiv. https://arxiv.org/abs/2310.08560</w:t>
      </w:r>
    </w:p>
    <w:p>
      <w:pPr>
        <w:spacing w:after="40"/>
        <w:ind w:left="454" w:hanging="454"/>
      </w:pPr>
      <w:r>
        <w:rPr>
          <w:sz w:val="18"/>
        </w:rPr>
        <w:t>Park, J. S., O'Brien, J. C., Cai, C. J., Morris, M. R., Liang, P., &amp; Bernstein, M. S. (2023). Generative agents: Interactive simulacra of human behavior. En Proceedings of the 36th Annual ACM Symposium on User Interface Software and Technology (UIST '23). ACM. https://doi.org/10.1145/3586183.3606763</w:t>
      </w:r>
    </w:p>
    <w:p>
      <w:pPr>
        <w:spacing w:after="40"/>
        <w:ind w:left="454" w:hanging="454"/>
      </w:pPr>
      <w:r>
        <w:rPr>
          <w:sz w:val="18"/>
        </w:rPr>
        <w:t>Yao, S., Zhao, J., Yu, D., Du, N., Shafran, I., Narasimhan, K., &amp; Cao, Y. (2023). ReAct: Synergizing reasoning and acting in language models. ICLR 2023. https://arxiv.org/abs/2210.03629</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