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pPr>
      <w:r>
        <w:rPr>
          <w:rFonts w:ascii="Arial" w:cs="Arial" w:eastAsia="Arial" w:hAnsi="Arial"/>
          <w:b/>
          <w:bCs/>
          <w:color w:val="1B3A5C"/>
          <w:sz w:val="64"/>
          <w:szCs w:val="64"/>
        </w:rPr>
        <w:t xml:space="preserve">CLARK</w:t>
      </w:r>
    </w:p>
    <w:p>
      <w:pPr>
        <w:pBdr>
          <w:bottom w:val="single" w:color="2E6DA4" w:sz="12" w:space="4"/>
        </w:pBdr>
        <w:spacing w:before="0" w:after="80"/>
      </w:pPr>
      <w:r>
        <w:rPr>
          <w:rFonts w:ascii="Arial" w:cs="Arial" w:eastAsia="Arial" w:hAnsi="Arial"/>
          <w:color w:val="2E6DA4"/>
          <w:sz w:val="30"/>
          <w:szCs w:val="30"/>
        </w:rPr>
        <w:t xml:space="preserve">Buffalo–Rochester Corridor Market Research</w:t>
      </w:r>
    </w:p>
    <w:p>
      <w:pPr>
        <w:spacing w:before="20" w:after="80"/>
      </w:pPr>
      <w:r>
        <w:rPr>
          <w:rFonts w:ascii="Arial" w:cs="Arial" w:eastAsia="Arial" w:hAnsi="Arial"/>
          <w:i/>
          <w:iCs/>
          <w:color w:val="666666"/>
          <w:sz w:val="22"/>
          <w:szCs w:val="22"/>
        </w:rPr>
        <w:t xml:space="preserve">Electronics Manufacturing Services — Buffalo / Niagara Falls NY to Rochester / Finger Lakes to Binghamton Southern Tier</w:t>
      </w:r>
    </w:p>
    <w:p>
      <w:pPr>
        <w:spacing w:before="60" w:after="0"/>
      </w:pPr>
      <w:r>
        <w:rPr>
          <w:rFonts w:ascii="Arial" w:cs="Arial" w:eastAsia="Arial" w:hAnsi="Arial"/>
          <w:color w:val="333333"/>
          <w:sz w:val="22"/>
          <w:szCs w:val="22"/>
        </w:rPr>
        <w:t xml:space="preserve"/>
      </w:r>
    </w:p>
    <w:p>
      <w:pPr>
        <w:spacing w:before="60" w:after="80"/>
      </w:pPr>
      <w:r>
        <w:rPr>
          <w:rFonts w:ascii="Arial" w:cs="Arial" w:eastAsia="Arial" w:hAnsi="Arial"/>
          <w:color w:val="888888"/>
          <w:sz w:val="22"/>
          <w:szCs w:val="22"/>
        </w:rPr>
        <w:t xml:space="preserve">Prepared for Clark internal strategy use. March 2025.</w:t>
      </w:r>
    </w:p>
    <w:p>
      <w:pPr>
        <w:spacing w:before="60" w:after="80"/>
      </w:pPr>
      <w:r>
        <w:rPr>
          <w:rFonts w:ascii="Arial" w:cs="Arial" w:eastAsia="Arial" w:hAnsi="Arial"/>
          <w:color w:val="555555"/>
          <w:sz w:val="22"/>
          <w:szCs w:val="22"/>
        </w:rPr>
        <w:t xml:space="preserve">This document profiles the electronics manufacturing services (EMS) operators and ecosystem participants in the U.S. side of Clark's Niagara–Buffalo–Rochester corridor. It uses the same tiered profile format as the Southern Ontario Market Research document. Companies are classified as Tier 1 (established mid-market EMS), Tier 2 (specialist regional EMS), or Tier 3 (large platform / strategic context). The Dunkirk logistics hub candidate is covered separately.</w:t>
      </w:r>
    </w:p>
    <w:p>
      <w:pPr>
        <w:spacing w:before="200" w:after="0"/>
      </w:pPr>
      <w:r>
        <w:rPr>
          <w:rFonts w:ascii="Arial" w:cs="Arial" w:eastAsia="Arial" w:hAnsi="Arial"/>
          <w:color w:val="333333"/>
          <w:sz w:val="22"/>
          <w:szCs w:val="22"/>
        </w:rP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1. Regional Context</w:t>
      </w:r>
    </w:p>
    <w:p>
      <w:pPr>
        <w:spacing w:before="60" w:after="80"/>
      </w:pPr>
      <w:r>
        <w:rPr>
          <w:rFonts w:ascii="Arial" w:cs="Arial" w:eastAsia="Arial" w:hAnsi="Arial"/>
          <w:color w:val="333333"/>
          <w:sz w:val="22"/>
          <w:szCs w:val="22"/>
        </w:rPr>
        <w:t xml:space="preserve">The Buffalo–Rochester corridor is a more distributed electronics manufacturing ecosystem than Southern Ontario's Hamilton–GTA spine. Southern Ontario's EMS density is concentrated in a 100km arc with shared labor markets and overlapping customer bases. The U.S. corridor operates differently: Buffalo/Niagara is a manufacturing gateway and border freight hub; Rochester is a legacy precision technology city (Kodak, Xerox, Bausch &amp; Lomb lineage) with defense-adjacent EMS shops; and Binghamton/Endicott is a Southern Tier IBM legacy cluster with world-class PCB and microelectronics capability at the high end. Dunkirk/Chautauqua County is a logistics and corridor anchor point with no EMS operators of note.</w:t>
      </w:r>
    </w:p>
    <w:p>
      <w:pPr>
        <w:spacing w:before="60" w:after="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20"/>
              <w:bottom w:val="single" w:color="CCCCCC" w:sz="2"/>
              <w:right w:val="single" w:color="CCCCCC" w:sz="2"/>
            </w:tcBorders>
            <w:shd w:fill="E8F4FD" w:val="clear"/>
            <w:tcMar>
              <w:top w:type="dxa" w:w="120"/>
              <w:left w:type="dxa" w:w="200"/>
              <w:bottom w:type="dxa" w:w="120"/>
              <w:right w:type="dxa" w:w="200"/>
            </w:tcMar>
          </w:tcPr>
          <w:p>
            <w:r>
              <w:rPr>
                <w:rFonts w:ascii="Arial" w:cs="Arial" w:eastAsia="Arial" w:hAnsi="Arial"/>
                <w:b/>
                <w:bCs/>
                <w:color w:val="2E6DA4"/>
                <w:sz w:val="20"/>
                <w:szCs w:val="20"/>
              </w:rPr>
              <w:t xml:space="preserve">Corridor in Numbers</w:t>
            </w:r>
          </w:p>
          <w:p>
            <w:pPr>
              <w:spacing w:before="40"/>
            </w:pPr>
            <w:r>
              <w:rPr>
                <w:rFonts w:ascii="Arial" w:cs="Arial" w:eastAsia="Arial" w:hAnsi="Arial"/>
                <w:color w:val="444444"/>
                <w:sz w:val="20"/>
                <w:szCs w:val="20"/>
              </w:rPr>
              <w:t xml:space="preserve">Buffalo Niagara advanced manufacturing: ~70,000 employees, $13.2B gross regional product, 31.6% more jobs than a typical region of its size. More than $88B in goods crosses the Buffalo–Niagara Falls freight gateway annually — the fourth largest U.S.–Canada crossing. The NY SMART I-Corridor semiconductor initiative positions Upstate New York (Buffalo–Albany) as a national semiconductor manufacturing hub. University at Buffalo hosted the Bridging the Gap Semiconductor Supply Chain Network conference in July 2025, connecting regional manufacturers to the semiconductor ecosystem. Empire State Development (ESD) is an active funder across the corridor — REDCOM and IEC (now Creation Technologies) both received ESD Excelsior Jobs support.</w:t>
            </w:r>
          </w:p>
        </w:tc>
      </w:tr>
    </w:tbl>
    <w:p>
      <w:pPr>
        <w:spacing w:before="100" w:after="0"/>
      </w:pPr>
      <w:r>
        <w:rPr>
          <w:rFonts w:ascii="Arial" w:cs="Arial" w:eastAsia="Arial" w:hAnsi="Arial"/>
          <w:color w:val="333333"/>
          <w:sz w:val="22"/>
          <w:szCs w:val="22"/>
        </w:rPr>
        <w:t xml:space="preserve"/>
      </w:r>
    </w:p>
    <w:p>
      <w:pPr>
        <w:pStyle w:val="Heading2"/>
        <w:spacing w:before="260" w:after="80"/>
      </w:pPr>
      <w:r>
        <w:rPr>
          <w:rFonts w:ascii="Arial" w:cs="Arial" w:eastAsia="Arial" w:hAnsi="Arial"/>
          <w:b/>
          <w:bCs/>
          <w:color w:val="2E6DA4"/>
          <w:sz w:val="26"/>
          <w:szCs w:val="26"/>
        </w:rPr>
        <w:t xml:space="preserve">1.1  How This Corridor Differs from Southern Ontario</w:t>
      </w:r>
    </w:p>
    <w:p>
      <w:pPr>
        <w:pStyle w:val="ListParagraph"/>
        <w:numPr>
          <w:ilvl w:val="0"/>
          <w:numId w:val="2"/>
        </w:numPr>
        <w:spacing w:before="40" w:after="40"/>
      </w:pPr>
      <w:r>
        <w:rPr>
          <w:rFonts w:ascii="Arial" w:cs="Arial" w:eastAsia="Arial" w:hAnsi="Arial"/>
          <w:b/>
          <w:bCs/>
          <w:color w:val="1B3A5C"/>
          <w:sz w:val="22"/>
          <w:szCs w:val="22"/>
        </w:rPr>
        <w:t xml:space="preserve">Geographic spread: </w:t>
      </w:r>
      <w:r>
        <w:rPr>
          <w:rFonts w:ascii="Arial" w:cs="Arial" w:eastAsia="Arial" w:hAnsi="Arial"/>
          <w:color w:val="333333"/>
          <w:sz w:val="22"/>
          <w:szCs w:val="22"/>
        </w:rPr>
        <w:t xml:space="preserve">No single dominant cluster. Southern Ontario has a dense Hamilton–Mississauga–GTA electronics corridor. The U.S. side is more geographically spread — 300 miles from Buffalo to Binghamton with distinct sub-markets at each node.</w:t>
      </w:r>
    </w:p>
    <w:p>
      <w:pPr>
        <w:pStyle w:val="ListParagraph"/>
        <w:numPr>
          <w:ilvl w:val="0"/>
          <w:numId w:val="2"/>
        </w:numPr>
        <w:spacing w:before="40" w:after="40"/>
      </w:pPr>
      <w:r>
        <w:rPr>
          <w:rFonts w:ascii="Arial" w:cs="Arial" w:eastAsia="Arial" w:hAnsi="Arial"/>
          <w:b/>
          <w:bCs/>
          <w:color w:val="1B3A5C"/>
          <w:sz w:val="22"/>
          <w:szCs w:val="22"/>
        </w:rPr>
        <w:t xml:space="preserve">Defense intensity: </w:t>
      </w:r>
      <w:r>
        <w:rPr>
          <w:rFonts w:ascii="Arial" w:cs="Arial" w:eastAsia="Arial" w:hAnsi="Arial"/>
          <w:color w:val="333333"/>
          <w:sz w:val="22"/>
          <w:szCs w:val="22"/>
        </w:rPr>
        <w:t xml:space="preserve">Defense intensity is higher. Rochester-area shops (REDCOM, UEC/ACT) and Binghamton shops (EI, BAE Systems Endicott) operate at AS9100D and DoD-qualification levels that are less common in the Southern Ontario mid-market. Clark's defense-adjacent positioning is well-matched to U.S. corridor demand.</w:t>
      </w:r>
    </w:p>
    <w:p>
      <w:pPr>
        <w:pStyle w:val="ListParagraph"/>
        <w:numPr>
          <w:ilvl w:val="0"/>
          <w:numId w:val="2"/>
        </w:numPr>
        <w:spacing w:before="40" w:after="40"/>
      </w:pPr>
      <w:r>
        <w:rPr>
          <w:rFonts w:ascii="Arial" w:cs="Arial" w:eastAsia="Arial" w:hAnsi="Arial"/>
          <w:b/>
          <w:bCs/>
          <w:color w:val="1B3A5C"/>
          <w:sz w:val="22"/>
          <w:szCs w:val="22"/>
        </w:rPr>
        <w:t xml:space="preserve">IBM legacy: </w:t>
      </w:r>
      <w:r>
        <w:rPr>
          <w:rFonts w:ascii="Arial" w:cs="Arial" w:eastAsia="Arial" w:hAnsi="Arial"/>
          <w:color w:val="333333"/>
          <w:sz w:val="22"/>
          <w:szCs w:val="22"/>
        </w:rPr>
        <w:t xml:space="preserve">IBM legacy shapes the ecosystem. Endicott Interconnect Technologies, EMS Technologies (Binghamton), and parts of the Rochester EMS base trace heritage to IBM's Upstate New York manufacturing operations. This creates deep institutional PCB knowledge and long employee tenures that Clark's IPC training pitch needs to account for.</w:t>
      </w:r>
    </w:p>
    <w:p>
      <w:pPr>
        <w:pStyle w:val="ListParagraph"/>
        <w:numPr>
          <w:ilvl w:val="0"/>
          <w:numId w:val="2"/>
        </w:numPr>
        <w:spacing w:before="40" w:after="40"/>
      </w:pPr>
      <w:r>
        <w:rPr>
          <w:rFonts w:ascii="Arial" w:cs="Arial" w:eastAsia="Arial" w:hAnsi="Arial"/>
          <w:b/>
          <w:bCs/>
          <w:color w:val="1B3A5C"/>
          <w:sz w:val="22"/>
          <w:szCs w:val="22"/>
        </w:rPr>
        <w:t xml:space="preserve">Artaflex corridor proof: </w:t>
      </w:r>
      <w:r>
        <w:rPr>
          <w:rFonts w:ascii="Arial" w:cs="Arial" w:eastAsia="Arial" w:hAnsi="Arial"/>
          <w:color w:val="333333"/>
          <w:sz w:val="22"/>
          <w:szCs w:val="22"/>
        </w:rPr>
        <w:t xml:space="preserve">Artaflex Buffalo is the corridor validation. Artaflex's January 2024 Buffalo facility opening — already documented in Clark's Southern Ontario research — independently proves the Hamilton–Buffalo corridor thesis. Gerry Iuliano (EVP, gerry_iuliano@artaflex.com) remains the highest-priority contact on the U.S. side.</w:t>
      </w:r>
    </w:p>
    <w:p>
      <w:pPr>
        <w:pStyle w:val="ListParagraph"/>
        <w:numPr>
          <w:ilvl w:val="0"/>
          <w:numId w:val="2"/>
        </w:numPr>
        <w:spacing w:before="40" w:after="40"/>
      </w:pPr>
      <w:r>
        <w:rPr>
          <w:rFonts w:ascii="Arial" w:cs="Arial" w:eastAsia="Arial" w:hAnsi="Arial"/>
          <w:b/>
          <w:bCs/>
          <w:color w:val="1B3A5C"/>
          <w:sz w:val="22"/>
          <w:szCs w:val="22"/>
        </w:rPr>
        <w:t xml:space="preserve">ESD funding: </w:t>
      </w:r>
      <w:r>
        <w:rPr>
          <w:rFonts w:ascii="Arial" w:cs="Arial" w:eastAsia="Arial" w:hAnsi="Arial"/>
          <w:color w:val="333333"/>
          <w:sz w:val="22"/>
          <w:szCs w:val="22"/>
        </w:rPr>
        <w:t xml:space="preserve">ESD is an accessible funding partner. Empire State Development has funded EMS capacity expansion at REDCOM and IEC/Creation Technologies within the last 5 years. Clark should treat ESD as a parallel relationship to develop alongside customer and node conversations.</w:t>
      </w:r>
    </w:p>
    <w:p>
      <w:pPr>
        <w:spacing w:before="200" w:after="0"/>
      </w:pPr>
      <w:r>
        <w:rPr>
          <w:rFonts w:ascii="Arial" w:cs="Arial" w:eastAsia="Arial" w:hAnsi="Arial"/>
          <w:color w:val="333333"/>
          <w:sz w:val="22"/>
          <w:szCs w:val="22"/>
        </w:rP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2. Tier 1 — Established Mid-Market EMS</w:t>
      </w:r>
    </w:p>
    <w:p>
      <w:pPr>
        <w:spacing w:before="60" w:after="80"/>
      </w:pPr>
      <w:r>
        <w:rPr>
          <w:rFonts w:ascii="Arial" w:cs="Arial" w:eastAsia="Arial" w:hAnsi="Arial"/>
          <w:color w:val="333333"/>
          <w:sz w:val="22"/>
          <w:szCs w:val="22"/>
        </w:rPr>
        <w:t xml:space="preserve">Tier 1 companies are established, certified, multi-decade EMS operations with 100+ employees, formal quality management systems at ISO 9001 level or above, and documented defense or medical sector work. These are intelligence targets and context setters, not immediate Clark partners — but their certification levels define the standard Clark's corridor customers will benchmark against.</w:t>
      </w:r>
    </w:p>
    <w:p>
      <w:pPr>
        <w:spacing w:before="60" w:after="0"/>
      </w:pPr>
      <w:r>
        <w:rPr>
          <w:rFonts w:ascii="Arial" w:cs="Arial" w:eastAsia="Arial" w:hAnsi="Arial"/>
          <w:color w:val="333333"/>
          <w:sz w:val="22"/>
          <w:szCs w:val="22"/>
        </w:rPr>
        <w:t xml:space="preserve"/>
      </w:r>
    </w:p>
    <w:p>
      <w:pPr>
        <w:pBdr>
          <w:left w:val="single" w:color="2E6DA4" w:sz="16" w:space="8"/>
        </w:pBdr>
        <w:spacing w:before="240" w:after="40"/>
      </w:pPr>
      <w:r>
        <w:rPr>
          <w:rFonts w:ascii="Arial" w:cs="Arial" w:eastAsia="Arial" w:hAnsi="Arial"/>
          <w:b/>
          <w:bCs/>
          <w:color w:val="1B3A5C"/>
          <w:sz w:val="26"/>
          <w:szCs w:val="26"/>
        </w:rPr>
        <w:t xml:space="preserve">REDCOM EMS (REDCOM Laboratories)</w:t>
      </w:r>
      <w:r>
        <w:rPr>
          <w:rFonts w:ascii="Arial" w:cs="Arial" w:eastAsia="Arial" w:hAnsi="Arial"/>
          <w:color w:val="2E6DA4"/>
          <w:sz w:val="18"/>
          <w:szCs w:val="18"/>
        </w:rPr>
        <w:t xml:space="preserve">  Tier 1 — Established Mid-Market EMS</w:t>
      </w:r>
    </w:p>
    <w:p>
      <w:pPr>
        <w:spacing w:before="0" w:after="80"/>
      </w:pPr>
      <w:r>
        <w:rPr>
          <w:rFonts w:ascii="Arial" w:cs="Arial" w:eastAsia="Arial" w:hAnsi="Arial"/>
          <w:color w:val="555555"/>
          <w:sz w:val="20"/>
          <w:szCs w:val="20"/>
        </w:rPr>
        <w:t xml:space="preserve">Defense-grade contract EMS embedded in a 45-year-old vertical manufacturer. ISO 9001:2015 and AS9100D certified. Operates from a 140,000 sq ft campus in Victor, NY (Rochester suburb).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6E8F7" w:val="clear"/>
            <w:tcMar>
              <w:top w:type="dxa" w:w="50"/>
              <w:left w:type="dxa" w:w="80"/>
              <w:bottom w:type="dxa" w:w="50"/>
              <w:right w:type="dxa" w:w="60"/>
            </w:tcMar>
          </w:tcPr>
          <w:p>
            <w:r>
              <w:rPr>
                <w:rFonts w:ascii="Arial" w:cs="Arial" w:eastAsia="Arial" w:hAnsi="Arial"/>
                <w:b/>
                <w:bCs/>
                <w:color w:val="1B3A5C"/>
                <w:sz w:val="18"/>
                <w:szCs w:val="18"/>
              </w:rPr>
              <w:t xml:space="preserve">Location</w:t>
            </w:r>
          </w:p>
        </w:tc>
        <w:tc>
          <w:tcPr>
            <w:tcW w:type="dxa" w:w="7160"/>
            <w:tcBorders>
              <w:top w:val="none" w:color="FFFFFF" w:sz="0"/>
              <w:left w:val="none" w:color="FFFFFF" w:sz="0"/>
              <w:bottom w:val="none" w:color="FFFFFF" w:sz="0"/>
              <w:right w:val="none" w:color="FFFFFF" w:sz="0"/>
            </w:tcBorders>
            <w:shd w:fill="FFFFFF" w:val="clear"/>
            <w:tcMar>
              <w:top w:type="dxa" w:w="50"/>
              <w:left w:type="dxa" w:w="100"/>
              <w:bottom w:type="dxa" w:w="50"/>
              <w:right w:type="dxa" w:w="80"/>
            </w:tcMar>
          </w:tcPr>
          <w:p>
            <w:r>
              <w:rPr>
                <w:rFonts w:ascii="Arial" w:cs="Arial" w:eastAsia="Arial" w:hAnsi="Arial"/>
                <w:color w:val="333333"/>
                <w:sz w:val="18"/>
                <w:szCs w:val="18"/>
              </w:rPr>
              <w:t xml:space="preserve">1 Redcom Center, Victor, NY 14564 (Ontario County — Rochester suburb)</w:t>
            </w:r>
          </w:p>
        </w:tc>
      </w:tr>
      <w:tr>
        <w:tc>
          <w:tcPr>
            <w:tcW w:type="dxa" w:w="2200"/>
            <w:tcBorders>
              <w:top w:val="none" w:color="FFFFFF" w:sz="0"/>
              <w:left w:val="none" w:color="FFFFFF" w:sz="0"/>
              <w:bottom w:val="none" w:color="FFFFFF" w:sz="0"/>
              <w:right w:val="none" w:color="FFFFFF" w:sz="0"/>
            </w:tcBorders>
            <w:shd w:fill="E8F4FD" w:val="clear"/>
            <w:tcMar>
              <w:top w:type="dxa" w:w="50"/>
              <w:left w:type="dxa" w:w="80"/>
              <w:bottom w:type="dxa" w:w="50"/>
              <w:right w:type="dxa" w:w="60"/>
            </w:tcMar>
          </w:tcPr>
          <w:p>
            <w:r>
              <w:rPr>
                <w:rFonts w:ascii="Arial" w:cs="Arial" w:eastAsia="Arial" w:hAnsi="Arial"/>
                <w:b/>
                <w:bCs/>
                <w:color w:val="1B3A5C"/>
                <w:sz w:val="18"/>
                <w:szCs w:val="18"/>
              </w:rPr>
              <w:t xml:space="preserve">Founded</w:t>
            </w:r>
          </w:p>
        </w:tc>
        <w:tc>
          <w:tcPr>
            <w:tcW w:type="dxa" w:w="7160"/>
            <w:tcBorders>
              <w:top w:val="none" w:color="FFFFFF" w:sz="0"/>
              <w:left w:val="none" w:color="FFFFFF" w:sz="0"/>
              <w:bottom w:val="none" w:color="FFFFFF" w:sz="0"/>
              <w:right w:val="none" w:color="FFFFFF" w:sz="0"/>
            </w:tcBorders>
            <w:shd w:fill="F5F5F5" w:val="clear"/>
            <w:tcMar>
              <w:top w:type="dxa" w:w="50"/>
              <w:left w:type="dxa" w:w="100"/>
              <w:bottom w:type="dxa" w:w="50"/>
              <w:right w:type="dxa" w:w="80"/>
            </w:tcMar>
          </w:tcPr>
          <w:p>
            <w:r>
              <w:rPr>
                <w:rFonts w:ascii="Arial" w:cs="Arial" w:eastAsia="Arial" w:hAnsi="Arial"/>
                <w:color w:val="333333"/>
                <w:sz w:val="18"/>
                <w:szCs w:val="18"/>
              </w:rPr>
              <w:t xml:space="preserve">1978 (EMS division adds to Laboratories' 45+ year history)</w:t>
            </w:r>
          </w:p>
        </w:tc>
      </w:tr>
      <w:tr>
        <w:tc>
          <w:tcPr>
            <w:tcW w:type="dxa" w:w="2200"/>
            <w:tcBorders>
              <w:top w:val="none" w:color="FFFFFF" w:sz="0"/>
              <w:left w:val="none" w:color="FFFFFF" w:sz="0"/>
              <w:bottom w:val="none" w:color="FFFFFF" w:sz="0"/>
              <w:right w:val="none" w:color="FFFFFF" w:sz="0"/>
            </w:tcBorders>
            <w:shd w:fill="D6E8F7" w:val="clear"/>
            <w:tcMar>
              <w:top w:type="dxa" w:w="50"/>
              <w:left w:type="dxa" w:w="80"/>
              <w:bottom w:type="dxa" w:w="50"/>
              <w:right w:type="dxa" w:w="60"/>
            </w:tcMar>
          </w:tcPr>
          <w:p>
            <w:r>
              <w:rPr>
                <w:rFonts w:ascii="Arial" w:cs="Arial" w:eastAsia="Arial" w:hAnsi="Arial"/>
                <w:b/>
                <w:bCs/>
                <w:color w:val="1B3A5C"/>
                <w:sz w:val="18"/>
                <w:szCs w:val="18"/>
              </w:rPr>
              <w:t xml:space="preserve">Size</w:t>
            </w:r>
          </w:p>
        </w:tc>
        <w:tc>
          <w:tcPr>
            <w:tcW w:type="dxa" w:w="7160"/>
            <w:tcBorders>
              <w:top w:val="none" w:color="FFFFFF" w:sz="0"/>
              <w:left w:val="none" w:color="FFFFFF" w:sz="0"/>
              <w:bottom w:val="none" w:color="FFFFFF" w:sz="0"/>
              <w:right w:val="none" w:color="FFFFFF" w:sz="0"/>
            </w:tcBorders>
            <w:shd w:fill="FFFFFF" w:val="clear"/>
            <w:tcMar>
              <w:top w:type="dxa" w:w="50"/>
              <w:left w:type="dxa" w:w="100"/>
              <w:bottom w:type="dxa" w:w="50"/>
              <w:right w:type="dxa" w:w="80"/>
            </w:tcMar>
          </w:tcPr>
          <w:p>
            <w:r>
              <w:rPr>
                <w:rFonts w:ascii="Arial" w:cs="Arial" w:eastAsia="Arial" w:hAnsi="Arial"/>
                <w:color w:val="333333"/>
                <w:sz w:val="18"/>
                <w:szCs w:val="18"/>
              </w:rPr>
              <w:t xml:space="preserve">125 employees total. VP of Manufacturing Steve Husband leads EMS. Sustained double-digit EMS revenue growth pre-2024.</w:t>
            </w:r>
          </w:p>
        </w:tc>
      </w:tr>
      <w:tr>
        <w:tc>
          <w:tcPr>
            <w:tcW w:type="dxa" w:w="2200"/>
            <w:tcBorders>
              <w:top w:val="none" w:color="FFFFFF" w:sz="0"/>
              <w:left w:val="none" w:color="FFFFFF" w:sz="0"/>
              <w:bottom w:val="none" w:color="FFFFFF" w:sz="0"/>
              <w:right w:val="none" w:color="FFFFFF" w:sz="0"/>
            </w:tcBorders>
            <w:shd w:fill="E8F4FD" w:val="clear"/>
            <w:tcMar>
              <w:top w:type="dxa" w:w="50"/>
              <w:left w:type="dxa" w:w="80"/>
              <w:bottom w:type="dxa" w:w="50"/>
              <w:right w:type="dxa" w:w="60"/>
            </w:tcMar>
          </w:tcPr>
          <w:p>
            <w:r>
              <w:rPr>
                <w:rFonts w:ascii="Arial" w:cs="Arial" w:eastAsia="Arial" w:hAnsi="Arial"/>
                <w:b/>
                <w:bCs/>
                <w:color w:val="1B3A5C"/>
                <w:sz w:val="18"/>
                <w:szCs w:val="18"/>
              </w:rPr>
              <w:t xml:space="preserve">Certifications</w:t>
            </w:r>
          </w:p>
        </w:tc>
        <w:tc>
          <w:tcPr>
            <w:tcW w:type="dxa" w:w="7160"/>
            <w:tcBorders>
              <w:top w:val="none" w:color="FFFFFF" w:sz="0"/>
              <w:left w:val="none" w:color="FFFFFF" w:sz="0"/>
              <w:bottom w:val="none" w:color="FFFFFF" w:sz="0"/>
              <w:right w:val="none" w:color="FFFFFF" w:sz="0"/>
            </w:tcBorders>
            <w:shd w:fill="F5F5F5" w:val="clear"/>
            <w:tcMar>
              <w:top w:type="dxa" w:w="50"/>
              <w:left w:type="dxa" w:w="100"/>
              <w:bottom w:type="dxa" w:w="50"/>
              <w:right w:type="dxa" w:w="80"/>
            </w:tcMar>
          </w:tcPr>
          <w:p>
            <w:r>
              <w:rPr>
                <w:rFonts w:ascii="Arial" w:cs="Arial" w:eastAsia="Arial" w:hAnsi="Arial"/>
                <w:color w:val="333333"/>
                <w:sz w:val="18"/>
                <w:szCs w:val="18"/>
              </w:rPr>
              <w:t xml:space="preserve">ISO 9001:2015, AS9100D:2016. TAA compliant. Secure supply chain — all subcontractors required to maintain ISO certification. Fully integrated secure ERP restricts job access to only necessary individuals.</w:t>
            </w:r>
          </w:p>
        </w:tc>
      </w:tr>
      <w:tr>
        <w:tc>
          <w:tcPr>
            <w:tcW w:type="dxa" w:w="2200"/>
            <w:tcBorders>
              <w:top w:val="none" w:color="FFFFFF" w:sz="0"/>
              <w:left w:val="none" w:color="FFFFFF" w:sz="0"/>
              <w:bottom w:val="none" w:color="FFFFFF" w:sz="0"/>
              <w:right w:val="none" w:color="FFFFFF" w:sz="0"/>
            </w:tcBorders>
            <w:shd w:fill="D6E8F7" w:val="clear"/>
            <w:tcMar>
              <w:top w:type="dxa" w:w="50"/>
              <w:left w:type="dxa" w:w="80"/>
              <w:bottom w:type="dxa" w:w="50"/>
              <w:right w:type="dxa" w:w="60"/>
            </w:tcMar>
          </w:tcPr>
          <w:p>
            <w:r>
              <w:rPr>
                <w:rFonts w:ascii="Arial" w:cs="Arial" w:eastAsia="Arial" w:hAnsi="Arial"/>
                <w:b/>
                <w:bCs/>
                <w:color w:val="1B3A5C"/>
                <w:sz w:val="18"/>
                <w:szCs w:val="18"/>
              </w:rPr>
              <w:t xml:space="preserve">Capabilities</w:t>
            </w:r>
          </w:p>
        </w:tc>
        <w:tc>
          <w:tcPr>
            <w:tcW w:type="dxa" w:w="7160"/>
            <w:tcBorders>
              <w:top w:val="none" w:color="FFFFFF" w:sz="0"/>
              <w:left w:val="none" w:color="FFFFFF" w:sz="0"/>
              <w:bottom w:val="none" w:color="FFFFFF" w:sz="0"/>
              <w:right w:val="none" w:color="FFFFFF" w:sz="0"/>
            </w:tcBorders>
            <w:shd w:fill="FFFFFF" w:val="clear"/>
            <w:tcMar>
              <w:top w:type="dxa" w:w="50"/>
              <w:left w:type="dxa" w:w="100"/>
              <w:bottom w:type="dxa" w:w="50"/>
              <w:right w:type="dxa" w:w="80"/>
            </w:tcMar>
          </w:tcPr>
          <w:p>
            <w:r>
              <w:rPr>
                <w:rFonts w:ascii="Arial" w:cs="Arial" w:eastAsia="Arial" w:hAnsi="Arial"/>
                <w:color w:val="333333"/>
                <w:sz w:val="18"/>
                <w:szCs w:val="18"/>
              </w:rPr>
              <w:t xml:space="preserve">PCBA (SMT equipment recently upgraded via ESD grant — higher-capacity circuit board printing and component assembly), wire harness assembly, power supplies, system-level assembly. In-house engineering, supply chain, sales, and manufacturing all co-located on single campus.</w:t>
            </w:r>
          </w:p>
        </w:tc>
      </w:tr>
      <w:tr>
        <w:tc>
          <w:tcPr>
            <w:tcW w:type="dxa" w:w="2200"/>
            <w:tcBorders>
              <w:top w:val="none" w:color="FFFFFF" w:sz="0"/>
              <w:left w:val="none" w:color="FFFFFF" w:sz="0"/>
              <w:bottom w:val="none" w:color="FFFFFF" w:sz="0"/>
              <w:right w:val="none" w:color="FFFFFF" w:sz="0"/>
            </w:tcBorders>
            <w:shd w:fill="E8F4FD" w:val="clear"/>
            <w:tcMar>
              <w:top w:type="dxa" w:w="50"/>
              <w:left w:type="dxa" w:w="80"/>
              <w:bottom w:type="dxa" w:w="50"/>
              <w:right w:type="dxa" w:w="60"/>
            </w:tcMar>
          </w:tcPr>
          <w:p>
            <w:r>
              <w:rPr>
                <w:rFonts w:ascii="Arial" w:cs="Arial" w:eastAsia="Arial" w:hAnsi="Arial"/>
                <w:b/>
                <w:bCs/>
                <w:color w:val="1B3A5C"/>
                <w:sz w:val="18"/>
                <w:szCs w:val="18"/>
              </w:rPr>
              <w:t xml:space="preserve">Key Markets</w:t>
            </w:r>
          </w:p>
        </w:tc>
        <w:tc>
          <w:tcPr>
            <w:tcW w:type="dxa" w:w="7160"/>
            <w:tcBorders>
              <w:top w:val="none" w:color="FFFFFF" w:sz="0"/>
              <w:left w:val="none" w:color="FFFFFF" w:sz="0"/>
              <w:bottom w:val="none" w:color="FFFFFF" w:sz="0"/>
              <w:right w:val="none" w:color="FFFFFF" w:sz="0"/>
            </w:tcBorders>
            <w:shd w:fill="F5F5F5" w:val="clear"/>
            <w:tcMar>
              <w:top w:type="dxa" w:w="50"/>
              <w:left w:type="dxa" w:w="100"/>
              <w:bottom w:type="dxa" w:w="50"/>
              <w:right w:type="dxa" w:w="80"/>
            </w:tcMar>
          </w:tcPr>
          <w:p>
            <w:r>
              <w:rPr>
                <w:rFonts w:ascii="Arial" w:cs="Arial" w:eastAsia="Arial" w:hAnsi="Arial"/>
                <w:color w:val="333333"/>
                <w:sz w:val="18"/>
                <w:szCs w:val="18"/>
              </w:rPr>
              <w:t xml:space="preserve">Defense (all U.S. military branches, DoD programs), aerospace, telecommunications, industrial, energy, transportation, medical, consumer electronics. DoD-adjacent across multiple program types.</w:t>
            </w:r>
          </w:p>
        </w:tc>
      </w:tr>
      <w:tr>
        <w:tc>
          <w:tcPr>
            <w:tcW w:type="dxa" w:w="2200"/>
            <w:tcBorders>
              <w:top w:val="none" w:color="FFFFFF" w:sz="0"/>
              <w:left w:val="none" w:color="FFFFFF" w:sz="0"/>
              <w:bottom w:val="none" w:color="FFFFFF" w:sz="0"/>
              <w:right w:val="none" w:color="FFFFFF" w:sz="0"/>
            </w:tcBorders>
            <w:shd w:fill="D6E8F7" w:val="clear"/>
            <w:tcMar>
              <w:top w:type="dxa" w:w="50"/>
              <w:left w:type="dxa" w:w="80"/>
              <w:bottom w:type="dxa" w:w="50"/>
              <w:right w:type="dxa" w:w="60"/>
            </w:tcMar>
          </w:tcPr>
          <w:p>
            <w:r>
              <w:rPr>
                <w:rFonts w:ascii="Arial" w:cs="Arial" w:eastAsia="Arial" w:hAnsi="Arial"/>
                <w:b/>
                <w:bCs/>
                <w:color w:val="1B3A5C"/>
                <w:sz w:val="18"/>
                <w:szCs w:val="18"/>
              </w:rPr>
              <w:t xml:space="preserve">Ownership</w:t>
            </w:r>
          </w:p>
        </w:tc>
        <w:tc>
          <w:tcPr>
            <w:tcW w:type="dxa" w:w="7160"/>
            <w:tcBorders>
              <w:top w:val="none" w:color="FFFFFF" w:sz="0"/>
              <w:left w:val="none" w:color="FFFFFF" w:sz="0"/>
              <w:bottom w:val="none" w:color="FFFFFF" w:sz="0"/>
              <w:right w:val="none" w:color="FFFFFF" w:sz="0"/>
            </w:tcBorders>
            <w:shd w:fill="FFFFFF" w:val="clear"/>
            <w:tcMar>
              <w:top w:type="dxa" w:w="50"/>
              <w:left w:type="dxa" w:w="100"/>
              <w:bottom w:type="dxa" w:w="50"/>
              <w:right w:type="dxa" w:w="80"/>
            </w:tcMar>
          </w:tcPr>
          <w:p>
            <w:r>
              <w:rPr>
                <w:rFonts w:ascii="Arial" w:cs="Arial" w:eastAsia="Arial" w:hAnsi="Arial"/>
                <w:color w:val="333333"/>
                <w:sz w:val="18"/>
                <w:szCs w:val="18"/>
              </w:rPr>
              <w:t xml:space="preserve">Woman-Owned Small Business (WOSB). Family-owned. Founded by Klaus Gueldenpfennig (d. 2021). Now led by daughter Dinah Gueldenpfennig Weisberg as CEO; mother Brigitte on board of directors.</w:t>
            </w:r>
          </w:p>
        </w:tc>
      </w:tr>
      <w:tr>
        <w:tc>
          <w:tcPr>
            <w:tcW w:type="dxa" w:w="2200"/>
            <w:tcBorders>
              <w:top w:val="none" w:color="FFFFFF" w:sz="0"/>
              <w:left w:val="none" w:color="FFFFFF" w:sz="0"/>
              <w:bottom w:val="none" w:color="FFFFFF" w:sz="0"/>
              <w:right w:val="none" w:color="FFFFFF" w:sz="0"/>
            </w:tcBorders>
            <w:shd w:fill="E8F4FD" w:val="clear"/>
            <w:tcMar>
              <w:top w:type="dxa" w:w="50"/>
              <w:left w:type="dxa" w:w="80"/>
              <w:bottom w:type="dxa" w:w="50"/>
              <w:right w:type="dxa" w:w="60"/>
            </w:tcMar>
          </w:tcPr>
          <w:p>
            <w:r>
              <w:rPr>
                <w:rFonts w:ascii="Arial" w:cs="Arial" w:eastAsia="Arial" w:hAnsi="Arial"/>
                <w:b/>
                <w:bCs/>
                <w:color w:val="1B3A5C"/>
                <w:sz w:val="18"/>
                <w:szCs w:val="18"/>
              </w:rPr>
              <w:t xml:space="preserve">Clark Relevance</w:t>
            </w:r>
          </w:p>
        </w:tc>
        <w:tc>
          <w:tcPr>
            <w:tcW w:type="dxa" w:w="7160"/>
            <w:tcBorders>
              <w:top w:val="none" w:color="FFFFFF" w:sz="0"/>
              <w:left w:val="none" w:color="FFFFFF" w:sz="0"/>
              <w:bottom w:val="none" w:color="FFFFFF" w:sz="0"/>
              <w:right w:val="none" w:color="FFFFFF" w:sz="0"/>
            </w:tcBorders>
            <w:shd w:fill="F5F5F5" w:val="clear"/>
            <w:tcMar>
              <w:top w:type="dxa" w:w="50"/>
              <w:left w:type="dxa" w:w="100"/>
              <w:bottom w:type="dxa" w:w="50"/>
              <w:right w:type="dxa" w:w="80"/>
            </w:tcMar>
          </w:tcPr>
          <w:p>
            <w:r>
              <w:rPr>
                <w:rFonts w:ascii="Arial" w:cs="Arial" w:eastAsia="Arial" w:hAnsi="Arial"/>
                <w:color w:val="333333"/>
                <w:sz w:val="18"/>
                <w:szCs w:val="18"/>
              </w:rPr>
              <w:t xml:space="preserve">HIGH. Defense-grade PCB assembly with AS9100D — the certification benchmark Clark's defense-adjacent customers require. EMS division is a growth operation with recent capital investment. Woman-Owned Small Business status adds procurement diversity angle. IP security posture and secure supply chain culture maps directly to Clark's value proposition. ESD Excelsior Jobs funding relationship indicates government partnerships are active. Distance: 90 miles from Hamilton via QEW/I-90.</w:t>
            </w:r>
          </w:p>
        </w:tc>
      </w:tr>
    </w:tbl>
    <w:p>
      <w:pPr>
        <w:spacing w:before="40" w:after="0"/>
      </w:pPr>
      <w:r>
        <w:rPr>
          <w:rFonts w:ascii="Arial" w:cs="Arial" w:eastAsia="Arial" w:hAnsi="Arial"/>
          <w:color w:val="333333"/>
          <w:sz w:val="22"/>
          <w:szCs w:val="22"/>
        </w:rPr>
        <w:t xml:space="preserve"/>
      </w:r>
    </w:p>
    <w:p>
      <w:pPr>
        <w:pBdr>
          <w:left w:val="single" w:color="2E6DA4" w:sz="16" w:space="8"/>
        </w:pBdr>
        <w:spacing w:before="240" w:after="40"/>
      </w:pPr>
      <w:r>
        <w:rPr>
          <w:rFonts w:ascii="Arial" w:cs="Arial" w:eastAsia="Arial" w:hAnsi="Arial"/>
          <w:b/>
          <w:bCs/>
          <w:color w:val="1B3A5C"/>
          <w:sz w:val="26"/>
          <w:szCs w:val="26"/>
        </w:rPr>
        <w:t xml:space="preserve">Creation Technologies (formerly IEC Electronics)</w:t>
      </w:r>
      <w:r>
        <w:rPr>
          <w:rFonts w:ascii="Arial" w:cs="Arial" w:eastAsia="Arial" w:hAnsi="Arial"/>
          <w:color w:val="2E6DA4"/>
          <w:sz w:val="18"/>
          <w:szCs w:val="18"/>
        </w:rPr>
        <w:t xml:space="preserve">  Tier 1 — Established Mid-Market EMS</w:t>
      </w:r>
    </w:p>
    <w:p>
      <w:pPr>
        <w:spacing w:before="0" w:after="80"/>
      </w:pPr>
      <w:r>
        <w:rPr>
          <w:rFonts w:ascii="Arial" w:cs="Arial" w:eastAsia="Arial" w:hAnsi="Arial"/>
          <w:color w:val="555555"/>
          <w:sz w:val="20"/>
          <w:szCs w:val="20"/>
        </w:rPr>
        <w:t xml:space="preserve">IEC Electronics was founded in Rochester in 1966, grew to become the Finger Lakes region's largest EMS employer, and was acquired by Creation Technologies in October 2021 for $173.8M. Now operates as Creation Technologies' Newark/Rochester division.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6E8F7" w:val="clear"/>
            <w:tcMar>
              <w:top w:type="dxa" w:w="50"/>
              <w:left w:type="dxa" w:w="80"/>
              <w:bottom w:type="dxa" w:w="50"/>
              <w:right w:type="dxa" w:w="60"/>
            </w:tcMar>
          </w:tcPr>
          <w:p>
            <w:r>
              <w:rPr>
                <w:rFonts w:ascii="Arial" w:cs="Arial" w:eastAsia="Arial" w:hAnsi="Arial"/>
                <w:b/>
                <w:bCs/>
                <w:color w:val="1B3A5C"/>
                <w:sz w:val="18"/>
                <w:szCs w:val="18"/>
              </w:rPr>
              <w:t xml:space="preserve">Location</w:t>
            </w:r>
          </w:p>
        </w:tc>
        <w:tc>
          <w:tcPr>
            <w:tcW w:type="dxa" w:w="7160"/>
            <w:tcBorders>
              <w:top w:val="none" w:color="FFFFFF" w:sz="0"/>
              <w:left w:val="none" w:color="FFFFFF" w:sz="0"/>
              <w:bottom w:val="none" w:color="FFFFFF" w:sz="0"/>
              <w:right w:val="none" w:color="FFFFFF" w:sz="0"/>
            </w:tcBorders>
            <w:shd w:fill="FFFFFF" w:val="clear"/>
            <w:tcMar>
              <w:top w:type="dxa" w:w="50"/>
              <w:left w:type="dxa" w:w="100"/>
              <w:bottom w:type="dxa" w:w="50"/>
              <w:right w:type="dxa" w:w="80"/>
            </w:tcMar>
          </w:tcPr>
          <w:p>
            <w:r>
              <w:rPr>
                <w:rFonts w:ascii="Arial" w:cs="Arial" w:eastAsia="Arial" w:hAnsi="Arial"/>
                <w:color w:val="333333"/>
                <w:sz w:val="18"/>
                <w:szCs w:val="18"/>
              </w:rPr>
              <w:t xml:space="preserve">328 Silver Hill Road, Newark, NY 14513 (Wayne County HQ — 150,000 sq ft); additional 86,000 sq ft facility at 50 Jetview Drive, Rochester, NY 14624. Also Albuquerque NM.</w:t>
            </w:r>
          </w:p>
        </w:tc>
      </w:tr>
      <w:tr>
        <w:tc>
          <w:tcPr>
            <w:tcW w:type="dxa" w:w="2200"/>
            <w:tcBorders>
              <w:top w:val="none" w:color="FFFFFF" w:sz="0"/>
              <w:left w:val="none" w:color="FFFFFF" w:sz="0"/>
              <w:bottom w:val="none" w:color="FFFFFF" w:sz="0"/>
              <w:right w:val="none" w:color="FFFFFF" w:sz="0"/>
            </w:tcBorders>
            <w:shd w:fill="E8F4FD" w:val="clear"/>
            <w:tcMar>
              <w:top w:type="dxa" w:w="50"/>
              <w:left w:type="dxa" w:w="80"/>
              <w:bottom w:type="dxa" w:w="50"/>
              <w:right w:type="dxa" w:w="60"/>
            </w:tcMar>
          </w:tcPr>
          <w:p>
            <w:r>
              <w:rPr>
                <w:rFonts w:ascii="Arial" w:cs="Arial" w:eastAsia="Arial" w:hAnsi="Arial"/>
                <w:b/>
                <w:bCs/>
                <w:color w:val="1B3A5C"/>
                <w:sz w:val="18"/>
                <w:szCs w:val="18"/>
              </w:rPr>
              <w:t xml:space="preserve">Founded</w:t>
            </w:r>
          </w:p>
        </w:tc>
        <w:tc>
          <w:tcPr>
            <w:tcW w:type="dxa" w:w="7160"/>
            <w:tcBorders>
              <w:top w:val="none" w:color="FFFFFF" w:sz="0"/>
              <w:left w:val="none" w:color="FFFFFF" w:sz="0"/>
              <w:bottom w:val="none" w:color="FFFFFF" w:sz="0"/>
              <w:right w:val="none" w:color="FFFFFF" w:sz="0"/>
            </w:tcBorders>
            <w:shd w:fill="F5F5F5" w:val="clear"/>
            <w:tcMar>
              <w:top w:type="dxa" w:w="50"/>
              <w:left w:type="dxa" w:w="100"/>
              <w:bottom w:type="dxa" w:w="50"/>
              <w:right w:type="dxa" w:w="80"/>
            </w:tcMar>
          </w:tcPr>
          <w:p>
            <w:r>
              <w:rPr>
                <w:rFonts w:ascii="Arial" w:cs="Arial" w:eastAsia="Arial" w:hAnsi="Arial"/>
                <w:color w:val="333333"/>
                <w:sz w:val="18"/>
                <w:szCs w:val="18"/>
              </w:rPr>
              <w:t xml:space="preserve">1966 (Rochester). Acquired by Creation Technologies Oct 2021.</w:t>
            </w:r>
          </w:p>
        </w:tc>
      </w:tr>
      <w:tr>
        <w:tc>
          <w:tcPr>
            <w:tcW w:type="dxa" w:w="2200"/>
            <w:tcBorders>
              <w:top w:val="none" w:color="FFFFFF" w:sz="0"/>
              <w:left w:val="none" w:color="FFFFFF" w:sz="0"/>
              <w:bottom w:val="none" w:color="FFFFFF" w:sz="0"/>
              <w:right w:val="none" w:color="FFFFFF" w:sz="0"/>
            </w:tcBorders>
            <w:shd w:fill="D6E8F7" w:val="clear"/>
            <w:tcMar>
              <w:top w:type="dxa" w:w="50"/>
              <w:left w:type="dxa" w:w="80"/>
              <w:bottom w:type="dxa" w:w="50"/>
              <w:right w:type="dxa" w:w="60"/>
            </w:tcMar>
          </w:tcPr>
          <w:p>
            <w:r>
              <w:rPr>
                <w:rFonts w:ascii="Arial" w:cs="Arial" w:eastAsia="Arial" w:hAnsi="Arial"/>
                <w:b/>
                <w:bCs/>
                <w:color w:val="1B3A5C"/>
                <w:sz w:val="18"/>
                <w:szCs w:val="18"/>
              </w:rPr>
              <w:t xml:space="preserve">Size</w:t>
            </w:r>
          </w:p>
        </w:tc>
        <w:tc>
          <w:tcPr>
            <w:tcW w:type="dxa" w:w="7160"/>
            <w:tcBorders>
              <w:top w:val="none" w:color="FFFFFF" w:sz="0"/>
              <w:left w:val="none" w:color="FFFFFF" w:sz="0"/>
              <w:bottom w:val="none" w:color="FFFFFF" w:sz="0"/>
              <w:right w:val="none" w:color="FFFFFF" w:sz="0"/>
            </w:tcBorders>
            <w:shd w:fill="FFFFFF" w:val="clear"/>
            <w:tcMar>
              <w:top w:type="dxa" w:w="50"/>
              <w:left w:type="dxa" w:w="100"/>
              <w:bottom w:type="dxa" w:w="50"/>
              <w:right w:type="dxa" w:w="80"/>
            </w:tcMar>
          </w:tcPr>
          <w:p>
            <w:r>
              <w:rPr>
                <w:rFonts w:ascii="Arial" w:cs="Arial" w:eastAsia="Arial" w:hAnsi="Arial"/>
                <w:color w:val="333333"/>
                <w:sz w:val="18"/>
                <w:szCs w:val="18"/>
              </w:rPr>
              <w:t xml:space="preserve">800+ employees (pre-acquisition). Creation Technologies combined entity: 4,000+ employees across 12+ North American sites.</w:t>
            </w:r>
          </w:p>
        </w:tc>
      </w:tr>
      <w:tr>
        <w:tc>
          <w:tcPr>
            <w:tcW w:type="dxa" w:w="2200"/>
            <w:tcBorders>
              <w:top w:val="none" w:color="FFFFFF" w:sz="0"/>
              <w:left w:val="none" w:color="FFFFFF" w:sz="0"/>
              <w:bottom w:val="none" w:color="FFFFFF" w:sz="0"/>
              <w:right w:val="none" w:color="FFFFFF" w:sz="0"/>
            </w:tcBorders>
            <w:shd w:fill="E8F4FD" w:val="clear"/>
            <w:tcMar>
              <w:top w:type="dxa" w:w="50"/>
              <w:left w:type="dxa" w:w="80"/>
              <w:bottom w:type="dxa" w:w="50"/>
              <w:right w:type="dxa" w:w="60"/>
            </w:tcMar>
          </w:tcPr>
          <w:p>
            <w:r>
              <w:rPr>
                <w:rFonts w:ascii="Arial" w:cs="Arial" w:eastAsia="Arial" w:hAnsi="Arial"/>
                <w:b/>
                <w:bCs/>
                <w:color w:val="1B3A5C"/>
                <w:sz w:val="18"/>
                <w:szCs w:val="18"/>
              </w:rPr>
              <w:t xml:space="preserve">Certifications</w:t>
            </w:r>
          </w:p>
        </w:tc>
        <w:tc>
          <w:tcPr>
            <w:tcW w:type="dxa" w:w="7160"/>
            <w:tcBorders>
              <w:top w:val="none" w:color="FFFFFF" w:sz="0"/>
              <w:left w:val="none" w:color="FFFFFF" w:sz="0"/>
              <w:bottom w:val="none" w:color="FFFFFF" w:sz="0"/>
              <w:right w:val="none" w:color="FFFFFF" w:sz="0"/>
            </w:tcBorders>
            <w:shd w:fill="F5F5F5" w:val="clear"/>
            <w:tcMar>
              <w:top w:type="dxa" w:w="50"/>
              <w:left w:type="dxa" w:w="100"/>
              <w:bottom w:type="dxa" w:w="50"/>
              <w:right w:type="dxa" w:w="80"/>
            </w:tcMar>
          </w:tcPr>
          <w:p>
            <w:r>
              <w:rPr>
                <w:rFonts w:ascii="Arial" w:cs="Arial" w:eastAsia="Arial" w:hAnsi="Arial"/>
                <w:color w:val="333333"/>
                <w:sz w:val="18"/>
                <w:szCs w:val="18"/>
              </w:rPr>
              <w:t xml:space="preserve">ISO 9001:2015, AS9100D, ISO 13485 (medical), Nadcap (aerospace processes), IPC QML, DLA QTSL. Full spectrum of high-reliability certifications.</w:t>
            </w:r>
          </w:p>
        </w:tc>
      </w:tr>
      <w:tr>
        <w:tc>
          <w:tcPr>
            <w:tcW w:type="dxa" w:w="2200"/>
            <w:tcBorders>
              <w:top w:val="none" w:color="FFFFFF" w:sz="0"/>
              <w:left w:val="none" w:color="FFFFFF" w:sz="0"/>
              <w:bottom w:val="none" w:color="FFFFFF" w:sz="0"/>
              <w:right w:val="none" w:color="FFFFFF" w:sz="0"/>
            </w:tcBorders>
            <w:shd w:fill="D6E8F7" w:val="clear"/>
            <w:tcMar>
              <w:top w:type="dxa" w:w="50"/>
              <w:left w:type="dxa" w:w="80"/>
              <w:bottom w:type="dxa" w:w="50"/>
              <w:right w:type="dxa" w:w="60"/>
            </w:tcMar>
          </w:tcPr>
          <w:p>
            <w:r>
              <w:rPr>
                <w:rFonts w:ascii="Arial" w:cs="Arial" w:eastAsia="Arial" w:hAnsi="Arial"/>
                <w:b/>
                <w:bCs/>
                <w:color w:val="1B3A5C"/>
                <w:sz w:val="18"/>
                <w:szCs w:val="18"/>
              </w:rPr>
              <w:t xml:space="preserve">Capabilities</w:t>
            </w:r>
          </w:p>
        </w:tc>
        <w:tc>
          <w:tcPr>
            <w:tcW w:type="dxa" w:w="7160"/>
            <w:tcBorders>
              <w:top w:val="none" w:color="FFFFFF" w:sz="0"/>
              <w:left w:val="none" w:color="FFFFFF" w:sz="0"/>
              <w:bottom w:val="none" w:color="FFFFFF" w:sz="0"/>
              <w:right w:val="none" w:color="FFFFFF" w:sz="0"/>
            </w:tcBorders>
            <w:shd w:fill="FFFFFF" w:val="clear"/>
            <w:tcMar>
              <w:top w:type="dxa" w:w="50"/>
              <w:left w:type="dxa" w:w="100"/>
              <w:bottom w:type="dxa" w:w="50"/>
              <w:right w:type="dxa" w:w="80"/>
            </w:tcMar>
          </w:tcPr>
          <w:p>
            <w:r>
              <w:rPr>
                <w:rFonts w:ascii="Arial" w:cs="Arial" w:eastAsia="Arial" w:hAnsi="Arial"/>
                <w:color w:val="333333"/>
                <w:sz w:val="18"/>
                <w:szCs w:val="18"/>
              </w:rPr>
              <w:t xml:space="preserve">Complex full system assemblies, circuit card assemblies, cable and wire harness, precision metalworking/sheet metal, analytical laboratory testing, counterfeit component detection, failure analysis. In-house specialty metals at Rochester Jetview facility. NPI incubation centers. Robotics and automation.</w:t>
            </w:r>
          </w:p>
        </w:tc>
      </w:tr>
      <w:tr>
        <w:tc>
          <w:tcPr>
            <w:tcW w:type="dxa" w:w="2200"/>
            <w:tcBorders>
              <w:top w:val="none" w:color="FFFFFF" w:sz="0"/>
              <w:left w:val="none" w:color="FFFFFF" w:sz="0"/>
              <w:bottom w:val="none" w:color="FFFFFF" w:sz="0"/>
              <w:right w:val="none" w:color="FFFFFF" w:sz="0"/>
            </w:tcBorders>
            <w:shd w:fill="E8F4FD" w:val="clear"/>
            <w:tcMar>
              <w:top w:type="dxa" w:w="50"/>
              <w:left w:type="dxa" w:w="80"/>
              <w:bottom w:type="dxa" w:w="50"/>
              <w:right w:type="dxa" w:w="60"/>
            </w:tcMar>
          </w:tcPr>
          <w:p>
            <w:r>
              <w:rPr>
                <w:rFonts w:ascii="Arial" w:cs="Arial" w:eastAsia="Arial" w:hAnsi="Arial"/>
                <w:b/>
                <w:bCs/>
                <w:color w:val="1B3A5C"/>
                <w:sz w:val="18"/>
                <w:szCs w:val="18"/>
              </w:rPr>
              <w:t xml:space="preserve">Key Markets</w:t>
            </w:r>
          </w:p>
        </w:tc>
        <w:tc>
          <w:tcPr>
            <w:tcW w:type="dxa" w:w="7160"/>
            <w:tcBorders>
              <w:top w:val="none" w:color="FFFFFF" w:sz="0"/>
              <w:left w:val="none" w:color="FFFFFF" w:sz="0"/>
              <w:bottom w:val="none" w:color="FFFFFF" w:sz="0"/>
              <w:right w:val="none" w:color="FFFFFF" w:sz="0"/>
            </w:tcBorders>
            <w:shd w:fill="F5F5F5" w:val="clear"/>
            <w:tcMar>
              <w:top w:type="dxa" w:w="50"/>
              <w:left w:type="dxa" w:w="100"/>
              <w:bottom w:type="dxa" w:w="50"/>
              <w:right w:type="dxa" w:w="80"/>
            </w:tcMar>
          </w:tcPr>
          <w:p>
            <w:r>
              <w:rPr>
                <w:rFonts w:ascii="Arial" w:cs="Arial" w:eastAsia="Arial" w:hAnsi="Arial"/>
                <w:color w:val="333333"/>
                <w:sz w:val="18"/>
                <w:szCs w:val="18"/>
              </w:rPr>
              <w:t xml:space="preserve">Medical (life-saving devices), aerospace and defense (secured DoD $45M+ contract 2021 for secured communications equipment for U.S. aircraft, ground vehicles, and surface warships), industrial. Exclusively U.S. manufacturing.</w:t>
            </w:r>
          </w:p>
        </w:tc>
      </w:tr>
      <w:tr>
        <w:tc>
          <w:tcPr>
            <w:tcW w:type="dxa" w:w="2200"/>
            <w:tcBorders>
              <w:top w:val="none" w:color="FFFFFF" w:sz="0"/>
              <w:left w:val="none" w:color="FFFFFF" w:sz="0"/>
              <w:bottom w:val="none" w:color="FFFFFF" w:sz="0"/>
              <w:right w:val="none" w:color="FFFFFF" w:sz="0"/>
            </w:tcBorders>
            <w:shd w:fill="D6E8F7" w:val="clear"/>
            <w:tcMar>
              <w:top w:type="dxa" w:w="50"/>
              <w:left w:type="dxa" w:w="80"/>
              <w:bottom w:type="dxa" w:w="50"/>
              <w:right w:type="dxa" w:w="60"/>
            </w:tcMar>
          </w:tcPr>
          <w:p>
            <w:r>
              <w:rPr>
                <w:rFonts w:ascii="Arial" w:cs="Arial" w:eastAsia="Arial" w:hAnsi="Arial"/>
                <w:b/>
                <w:bCs/>
                <w:color w:val="1B3A5C"/>
                <w:sz w:val="18"/>
                <w:szCs w:val="18"/>
              </w:rPr>
              <w:t xml:space="preserve">Ownership</w:t>
            </w:r>
          </w:p>
        </w:tc>
        <w:tc>
          <w:tcPr>
            <w:tcW w:type="dxa" w:w="7160"/>
            <w:tcBorders>
              <w:top w:val="none" w:color="FFFFFF" w:sz="0"/>
              <w:left w:val="none" w:color="FFFFFF" w:sz="0"/>
              <w:bottom w:val="none" w:color="FFFFFF" w:sz="0"/>
              <w:right w:val="none" w:color="FFFFFF" w:sz="0"/>
            </w:tcBorders>
            <w:shd w:fill="FFFFFF" w:val="clear"/>
            <w:tcMar>
              <w:top w:type="dxa" w:w="50"/>
              <w:left w:type="dxa" w:w="100"/>
              <w:bottom w:type="dxa" w:w="50"/>
              <w:right w:type="dxa" w:w="80"/>
            </w:tcMar>
          </w:tcPr>
          <w:p>
            <w:r>
              <w:rPr>
                <w:rFonts w:ascii="Arial" w:cs="Arial" w:eastAsia="Arial" w:hAnsi="Arial"/>
                <w:color w:val="333333"/>
                <w:sz w:val="18"/>
                <w:szCs w:val="18"/>
              </w:rPr>
              <w:t xml:space="preserve">Subsidiary of Creation Technologies (Boston, MA). Private equity backed (Moelis-advised in acquisition). Jeff Schlarbaum was President/CEO of IEC pre-acquisition; creation integration completed.</w:t>
            </w:r>
          </w:p>
        </w:tc>
      </w:tr>
      <w:tr>
        <w:tc>
          <w:tcPr>
            <w:tcW w:type="dxa" w:w="2200"/>
            <w:tcBorders>
              <w:top w:val="none" w:color="FFFFFF" w:sz="0"/>
              <w:left w:val="none" w:color="FFFFFF" w:sz="0"/>
              <w:bottom w:val="none" w:color="FFFFFF" w:sz="0"/>
              <w:right w:val="none" w:color="FFFFFF" w:sz="0"/>
            </w:tcBorders>
            <w:shd w:fill="E8F4FD" w:val="clear"/>
            <w:tcMar>
              <w:top w:type="dxa" w:w="50"/>
              <w:left w:type="dxa" w:w="80"/>
              <w:bottom w:type="dxa" w:w="50"/>
              <w:right w:type="dxa" w:w="60"/>
            </w:tcMar>
          </w:tcPr>
          <w:p>
            <w:r>
              <w:rPr>
                <w:rFonts w:ascii="Arial" w:cs="Arial" w:eastAsia="Arial" w:hAnsi="Arial"/>
                <w:b/>
                <w:bCs/>
                <w:color w:val="1B3A5C"/>
                <w:sz w:val="18"/>
                <w:szCs w:val="18"/>
              </w:rPr>
              <w:t xml:space="preserve">Clark Relevance</w:t>
            </w:r>
          </w:p>
        </w:tc>
        <w:tc>
          <w:tcPr>
            <w:tcW w:type="dxa" w:w="7160"/>
            <w:tcBorders>
              <w:top w:val="none" w:color="FFFFFF" w:sz="0"/>
              <w:left w:val="none" w:color="FFFFFF" w:sz="0"/>
              <w:bottom w:val="none" w:color="FFFFFF" w:sz="0"/>
              <w:right w:val="none" w:color="FFFFFF" w:sz="0"/>
            </w:tcBorders>
            <w:shd w:fill="F5F5F5" w:val="clear"/>
            <w:tcMar>
              <w:top w:type="dxa" w:w="50"/>
              <w:left w:type="dxa" w:w="100"/>
              <w:bottom w:type="dxa" w:w="50"/>
              <w:right w:type="dxa" w:w="80"/>
            </w:tcMar>
          </w:tcPr>
          <w:p>
            <w:r>
              <w:rPr>
                <w:rFonts w:ascii="Arial" w:cs="Arial" w:eastAsia="Arial" w:hAnsi="Arial"/>
                <w:color w:val="333333"/>
                <w:sz w:val="18"/>
                <w:szCs w:val="18"/>
              </w:rPr>
              <w:t xml:space="preserve">CONTEXT / INTELLIGENCE. Too large for Clark partnership conversations in the near term — Creation Technologies is a mid-sized global EMS platform. However: (1) IEC's Nadcap and DLA QTSL certifications set the bar Clark's defense-adjacent corridor customers will benchmark against; (2) Creation's acquisition validated the corridor market at $173.8M — a strong proof point for Clark's fundraising narrative; (3) IEC's deep RIT co-op relationship and Finger Lakes Community College partnership are workforce infrastructure Clark can reference.</w:t>
            </w:r>
          </w:p>
        </w:tc>
      </w:tr>
    </w:tbl>
    <w:p>
      <w:pPr>
        <w:spacing w:before="40" w:after="0"/>
      </w:pPr>
      <w:r>
        <w:rPr>
          <w:rFonts w:ascii="Arial" w:cs="Arial" w:eastAsia="Arial" w:hAnsi="Arial"/>
          <w:color w:val="333333"/>
          <w:sz w:val="22"/>
          <w:szCs w:val="22"/>
        </w:rP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3. Tier 2 — Specialist Regional EMS</w:t>
      </w:r>
    </w:p>
    <w:p>
      <w:pPr>
        <w:spacing w:before="60" w:after="80"/>
      </w:pPr>
      <w:r>
        <w:rPr>
          <w:rFonts w:ascii="Arial" w:cs="Arial" w:eastAsia="Arial" w:hAnsi="Arial"/>
          <w:color w:val="333333"/>
          <w:sz w:val="22"/>
          <w:szCs w:val="22"/>
        </w:rPr>
        <w:t xml:space="preserve">Tier 2 companies are specialist shops with distinct capability niches, 10–100 employees, some formal certifications, and strong regional customer relationships. These are Clark's primary engagement targets — for IPC training, Clarkware adoption, node candidacy conversations, and corridor customer acquisition.</w:t>
      </w:r>
    </w:p>
    <w:p>
      <w:pPr>
        <w:spacing w:before="60" w:after="0"/>
      </w:pPr>
      <w:r>
        <w:rPr>
          <w:rFonts w:ascii="Arial" w:cs="Arial" w:eastAsia="Arial" w:hAnsi="Arial"/>
          <w:color w:val="333333"/>
          <w:sz w:val="22"/>
          <w:szCs w:val="22"/>
        </w:rPr>
        <w:t xml:space="preserve"/>
      </w:r>
    </w:p>
    <w:p>
      <w:pPr>
        <w:pBdr>
          <w:left w:val="single" w:color="2E6DA4" w:sz="16" w:space="8"/>
        </w:pBdr>
        <w:spacing w:before="240" w:after="40"/>
      </w:pPr>
      <w:r>
        <w:rPr>
          <w:rFonts w:ascii="Arial" w:cs="Arial" w:eastAsia="Arial" w:hAnsi="Arial"/>
          <w:b/>
          <w:bCs/>
          <w:color w:val="1B3A5C"/>
          <w:sz w:val="26"/>
          <w:szCs w:val="26"/>
        </w:rPr>
        <w:t xml:space="preserve">UEC Advanced Circuit Technologies (ACT)</w:t>
      </w:r>
      <w:r>
        <w:rPr>
          <w:rFonts w:ascii="Arial" w:cs="Arial" w:eastAsia="Arial" w:hAnsi="Arial"/>
          <w:color w:val="2E6DA4"/>
          <w:sz w:val="18"/>
          <w:szCs w:val="18"/>
        </w:rPr>
        <w:t xml:space="preserve">  Tier 2 — Specialist Regional EMS</w:t>
      </w:r>
    </w:p>
    <w:p>
      <w:pPr>
        <w:spacing w:before="0" w:after="80"/>
      </w:pPr>
      <w:r>
        <w:rPr>
          <w:rFonts w:ascii="Arial" w:cs="Arial" w:eastAsia="Arial" w:hAnsi="Arial"/>
          <w:color w:val="555555"/>
          <w:sz w:val="20"/>
          <w:szCs w:val="20"/>
        </w:rPr>
        <w:t xml:space="preserve">High-mix, low-to-medium-volume precision manufacturer specializing in complex circuit card assemblies and thick-film hybrid microelectronics. Acquired by Arotech/United Electronics Company (UEC) in December 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6E8F7" w:val="clear"/>
            <w:tcMar>
              <w:top w:type="dxa" w:w="50"/>
              <w:left w:type="dxa" w:w="80"/>
              <w:bottom w:type="dxa" w:w="50"/>
              <w:right w:type="dxa" w:w="60"/>
            </w:tcMar>
          </w:tcPr>
          <w:p>
            <w:r>
              <w:rPr>
                <w:rFonts w:ascii="Arial" w:cs="Arial" w:eastAsia="Arial" w:hAnsi="Arial"/>
                <w:b/>
                <w:bCs/>
                <w:color w:val="1B3A5C"/>
                <w:sz w:val="18"/>
                <w:szCs w:val="18"/>
              </w:rPr>
              <w:t xml:space="preserve">Location</w:t>
            </w:r>
          </w:p>
        </w:tc>
        <w:tc>
          <w:tcPr>
            <w:tcW w:type="dxa" w:w="7160"/>
            <w:tcBorders>
              <w:top w:val="none" w:color="FFFFFF" w:sz="0"/>
              <w:left w:val="none" w:color="FFFFFF" w:sz="0"/>
              <w:bottom w:val="none" w:color="FFFFFF" w:sz="0"/>
              <w:right w:val="none" w:color="FFFFFF" w:sz="0"/>
            </w:tcBorders>
            <w:shd w:fill="FFFFFF" w:val="clear"/>
            <w:tcMar>
              <w:top w:type="dxa" w:w="50"/>
              <w:left w:type="dxa" w:w="100"/>
              <w:bottom w:type="dxa" w:w="50"/>
              <w:right w:type="dxa" w:w="80"/>
            </w:tcMar>
          </w:tcPr>
          <w:p>
            <w:r>
              <w:rPr>
                <w:rFonts w:ascii="Arial" w:cs="Arial" w:eastAsia="Arial" w:hAnsi="Arial"/>
                <w:color w:val="333333"/>
                <w:sz w:val="18"/>
                <w:szCs w:val="18"/>
              </w:rPr>
              <w:t xml:space="preserve">19 Jet View Drive, Rochester, NY 14624 (directly behind Frederick Douglass Greater Rochester International Airport)</w:t>
            </w:r>
          </w:p>
        </w:tc>
      </w:tr>
      <w:tr>
        <w:tc>
          <w:tcPr>
            <w:tcW w:type="dxa" w:w="2200"/>
            <w:tcBorders>
              <w:top w:val="none" w:color="FFFFFF" w:sz="0"/>
              <w:left w:val="none" w:color="FFFFFF" w:sz="0"/>
              <w:bottom w:val="none" w:color="FFFFFF" w:sz="0"/>
              <w:right w:val="none" w:color="FFFFFF" w:sz="0"/>
            </w:tcBorders>
            <w:shd w:fill="E8F4FD" w:val="clear"/>
            <w:tcMar>
              <w:top w:type="dxa" w:w="50"/>
              <w:left w:type="dxa" w:w="80"/>
              <w:bottom w:type="dxa" w:w="50"/>
              <w:right w:type="dxa" w:w="60"/>
            </w:tcMar>
          </w:tcPr>
          <w:p>
            <w:r>
              <w:rPr>
                <w:rFonts w:ascii="Arial" w:cs="Arial" w:eastAsia="Arial" w:hAnsi="Arial"/>
                <w:b/>
                <w:bCs/>
                <w:color w:val="1B3A5C"/>
                <w:sz w:val="18"/>
                <w:szCs w:val="18"/>
              </w:rPr>
              <w:t xml:space="preserve">Founded</w:t>
            </w:r>
          </w:p>
        </w:tc>
        <w:tc>
          <w:tcPr>
            <w:tcW w:type="dxa" w:w="7160"/>
            <w:tcBorders>
              <w:top w:val="none" w:color="FFFFFF" w:sz="0"/>
              <w:left w:val="none" w:color="FFFFFF" w:sz="0"/>
              <w:bottom w:val="none" w:color="FFFFFF" w:sz="0"/>
              <w:right w:val="none" w:color="FFFFFF" w:sz="0"/>
            </w:tcBorders>
            <w:shd w:fill="F5F5F5" w:val="clear"/>
            <w:tcMar>
              <w:top w:type="dxa" w:w="50"/>
              <w:left w:type="dxa" w:w="100"/>
              <w:bottom w:type="dxa" w:w="50"/>
              <w:right w:type="dxa" w:w="80"/>
            </w:tcMar>
          </w:tcPr>
          <w:p>
            <w:r>
              <w:rPr>
                <w:rFonts w:ascii="Arial" w:cs="Arial" w:eastAsia="Arial" w:hAnsi="Arial"/>
                <w:color w:val="333333"/>
                <w:sz w:val="18"/>
                <w:szCs w:val="18"/>
              </w:rPr>
              <w:t xml:space="preserve">1983 (as hybrid circuit manufacturer for ABB Instrumentation). Named ACT in 1998. Acquired by UEC/Arotech Dec 2021.</w:t>
            </w:r>
          </w:p>
        </w:tc>
      </w:tr>
      <w:tr>
        <w:tc>
          <w:tcPr>
            <w:tcW w:type="dxa" w:w="2200"/>
            <w:tcBorders>
              <w:top w:val="none" w:color="FFFFFF" w:sz="0"/>
              <w:left w:val="none" w:color="FFFFFF" w:sz="0"/>
              <w:bottom w:val="none" w:color="FFFFFF" w:sz="0"/>
              <w:right w:val="none" w:color="FFFFFF" w:sz="0"/>
            </w:tcBorders>
            <w:shd w:fill="D6E8F7" w:val="clear"/>
            <w:tcMar>
              <w:top w:type="dxa" w:w="50"/>
              <w:left w:type="dxa" w:w="80"/>
              <w:bottom w:type="dxa" w:w="50"/>
              <w:right w:type="dxa" w:w="60"/>
            </w:tcMar>
          </w:tcPr>
          <w:p>
            <w:r>
              <w:rPr>
                <w:rFonts w:ascii="Arial" w:cs="Arial" w:eastAsia="Arial" w:hAnsi="Arial"/>
                <w:b/>
                <w:bCs/>
                <w:color w:val="1B3A5C"/>
                <w:sz w:val="18"/>
                <w:szCs w:val="18"/>
              </w:rPr>
              <w:t xml:space="preserve">Size</w:t>
            </w:r>
          </w:p>
        </w:tc>
        <w:tc>
          <w:tcPr>
            <w:tcW w:type="dxa" w:w="7160"/>
            <w:tcBorders>
              <w:top w:val="none" w:color="FFFFFF" w:sz="0"/>
              <w:left w:val="none" w:color="FFFFFF" w:sz="0"/>
              <w:bottom w:val="none" w:color="FFFFFF" w:sz="0"/>
              <w:right w:val="none" w:color="FFFFFF" w:sz="0"/>
            </w:tcBorders>
            <w:shd w:fill="FFFFFF" w:val="clear"/>
            <w:tcMar>
              <w:top w:type="dxa" w:w="50"/>
              <w:left w:type="dxa" w:w="100"/>
              <w:bottom w:type="dxa" w:w="50"/>
              <w:right w:type="dxa" w:w="80"/>
            </w:tcMar>
          </w:tcPr>
          <w:p>
            <w:r>
              <w:rPr>
                <w:rFonts w:ascii="Arial" w:cs="Arial" w:eastAsia="Arial" w:hAnsi="Arial"/>
                <w:color w:val="333333"/>
                <w:sz w:val="18"/>
                <w:szCs w:val="18"/>
              </w:rPr>
              <w:t xml:space="preserve">Not publicly disclosed. 35,000 sq ft facility. 4 SMT lines.</w:t>
            </w:r>
          </w:p>
        </w:tc>
      </w:tr>
      <w:tr>
        <w:tc>
          <w:tcPr>
            <w:tcW w:type="dxa" w:w="2200"/>
            <w:tcBorders>
              <w:top w:val="none" w:color="FFFFFF" w:sz="0"/>
              <w:left w:val="none" w:color="FFFFFF" w:sz="0"/>
              <w:bottom w:val="none" w:color="FFFFFF" w:sz="0"/>
              <w:right w:val="none" w:color="FFFFFF" w:sz="0"/>
            </w:tcBorders>
            <w:shd w:fill="E8F4FD" w:val="clear"/>
            <w:tcMar>
              <w:top w:type="dxa" w:w="50"/>
              <w:left w:type="dxa" w:w="80"/>
              <w:bottom w:type="dxa" w:w="50"/>
              <w:right w:type="dxa" w:w="60"/>
            </w:tcMar>
          </w:tcPr>
          <w:p>
            <w:r>
              <w:rPr>
                <w:rFonts w:ascii="Arial" w:cs="Arial" w:eastAsia="Arial" w:hAnsi="Arial"/>
                <w:b/>
                <w:bCs/>
                <w:color w:val="1B3A5C"/>
                <w:sz w:val="18"/>
                <w:szCs w:val="18"/>
              </w:rPr>
              <w:t xml:space="preserve">Certifications</w:t>
            </w:r>
          </w:p>
        </w:tc>
        <w:tc>
          <w:tcPr>
            <w:tcW w:type="dxa" w:w="7160"/>
            <w:tcBorders>
              <w:top w:val="none" w:color="FFFFFF" w:sz="0"/>
              <w:left w:val="none" w:color="FFFFFF" w:sz="0"/>
              <w:bottom w:val="none" w:color="FFFFFF" w:sz="0"/>
              <w:right w:val="none" w:color="FFFFFF" w:sz="0"/>
            </w:tcBorders>
            <w:shd w:fill="F5F5F5" w:val="clear"/>
            <w:tcMar>
              <w:top w:type="dxa" w:w="50"/>
              <w:left w:type="dxa" w:w="100"/>
              <w:bottom w:type="dxa" w:w="50"/>
              <w:right w:type="dxa" w:w="80"/>
            </w:tcMar>
          </w:tcPr>
          <w:p>
            <w:r>
              <w:rPr>
                <w:rFonts w:ascii="Arial" w:cs="Arial" w:eastAsia="Arial" w:hAnsi="Arial"/>
                <w:color w:val="333333"/>
                <w:sz w:val="18"/>
                <w:szCs w:val="18"/>
              </w:rPr>
              <w:t xml:space="preserve">AS9100D. IPC-A-610 (IPC J-STD listed). Automated Optical Inspection (inline and offline). Environmental testing.</w:t>
            </w:r>
          </w:p>
        </w:tc>
      </w:tr>
      <w:tr>
        <w:tc>
          <w:tcPr>
            <w:tcW w:type="dxa" w:w="2200"/>
            <w:tcBorders>
              <w:top w:val="none" w:color="FFFFFF" w:sz="0"/>
              <w:left w:val="none" w:color="FFFFFF" w:sz="0"/>
              <w:bottom w:val="none" w:color="FFFFFF" w:sz="0"/>
              <w:right w:val="none" w:color="FFFFFF" w:sz="0"/>
            </w:tcBorders>
            <w:shd w:fill="D6E8F7" w:val="clear"/>
            <w:tcMar>
              <w:top w:type="dxa" w:w="50"/>
              <w:left w:type="dxa" w:w="80"/>
              <w:bottom w:type="dxa" w:w="50"/>
              <w:right w:type="dxa" w:w="60"/>
            </w:tcMar>
          </w:tcPr>
          <w:p>
            <w:r>
              <w:rPr>
                <w:rFonts w:ascii="Arial" w:cs="Arial" w:eastAsia="Arial" w:hAnsi="Arial"/>
                <w:b/>
                <w:bCs/>
                <w:color w:val="1B3A5C"/>
                <w:sz w:val="18"/>
                <w:szCs w:val="18"/>
              </w:rPr>
              <w:t xml:space="preserve">Capabilities</w:t>
            </w:r>
          </w:p>
        </w:tc>
        <w:tc>
          <w:tcPr>
            <w:tcW w:type="dxa" w:w="7160"/>
            <w:tcBorders>
              <w:top w:val="none" w:color="FFFFFF" w:sz="0"/>
              <w:left w:val="none" w:color="FFFFFF" w:sz="0"/>
              <w:bottom w:val="none" w:color="FFFFFF" w:sz="0"/>
              <w:right w:val="none" w:color="FFFFFF" w:sz="0"/>
            </w:tcBorders>
            <w:shd w:fill="FFFFFF" w:val="clear"/>
            <w:tcMar>
              <w:top w:type="dxa" w:w="50"/>
              <w:left w:type="dxa" w:w="100"/>
              <w:bottom w:type="dxa" w:w="50"/>
              <w:right w:type="dxa" w:w="80"/>
            </w:tcMar>
          </w:tcPr>
          <w:p>
            <w:r>
              <w:rPr>
                <w:rFonts w:ascii="Arial" w:cs="Arial" w:eastAsia="Arial" w:hAnsi="Arial"/>
                <w:color w:val="333333"/>
                <w:sz w:val="18"/>
                <w:szCs w:val="18"/>
              </w:rPr>
              <w:t xml:space="preserve">PCB assembly, thick-film hybrid circuit design and manufacturing (a rare specialty — miniaturized circuits on ceramic substrates for harsh environments), higher-level assembly (module and box), mechanical assembly, conformal coating (AR, UR, SR, XY), testing, New Product Development, prototype to production. 4 SMT lines.</w:t>
            </w:r>
          </w:p>
        </w:tc>
      </w:tr>
      <w:tr>
        <w:tc>
          <w:tcPr>
            <w:tcW w:type="dxa" w:w="2200"/>
            <w:tcBorders>
              <w:top w:val="none" w:color="FFFFFF" w:sz="0"/>
              <w:left w:val="none" w:color="FFFFFF" w:sz="0"/>
              <w:bottom w:val="none" w:color="FFFFFF" w:sz="0"/>
              <w:right w:val="none" w:color="FFFFFF" w:sz="0"/>
            </w:tcBorders>
            <w:shd w:fill="E8F4FD" w:val="clear"/>
            <w:tcMar>
              <w:top w:type="dxa" w:w="50"/>
              <w:left w:type="dxa" w:w="80"/>
              <w:bottom w:type="dxa" w:w="50"/>
              <w:right w:type="dxa" w:w="60"/>
            </w:tcMar>
          </w:tcPr>
          <w:p>
            <w:r>
              <w:rPr>
                <w:rFonts w:ascii="Arial" w:cs="Arial" w:eastAsia="Arial" w:hAnsi="Arial"/>
                <w:b/>
                <w:bCs/>
                <w:color w:val="1B3A5C"/>
                <w:sz w:val="18"/>
                <w:szCs w:val="18"/>
              </w:rPr>
              <w:t xml:space="preserve">Key Markets</w:t>
            </w:r>
          </w:p>
        </w:tc>
        <w:tc>
          <w:tcPr>
            <w:tcW w:type="dxa" w:w="7160"/>
            <w:tcBorders>
              <w:top w:val="none" w:color="FFFFFF" w:sz="0"/>
              <w:left w:val="none" w:color="FFFFFF" w:sz="0"/>
              <w:bottom w:val="none" w:color="FFFFFF" w:sz="0"/>
              <w:right w:val="none" w:color="FFFFFF" w:sz="0"/>
            </w:tcBorders>
            <w:shd w:fill="F5F5F5" w:val="clear"/>
            <w:tcMar>
              <w:top w:type="dxa" w:w="50"/>
              <w:left w:type="dxa" w:w="100"/>
              <w:bottom w:type="dxa" w:w="50"/>
              <w:right w:type="dxa" w:w="80"/>
            </w:tcMar>
          </w:tcPr>
          <w:p>
            <w:r>
              <w:rPr>
                <w:rFonts w:ascii="Arial" w:cs="Arial" w:eastAsia="Arial" w:hAnsi="Arial"/>
                <w:color w:val="333333"/>
                <w:sz w:val="18"/>
                <w:szCs w:val="18"/>
              </w:rPr>
              <w:t xml:space="preserve">Aerospace and defense, industrial, medical, sensors and measurement, commercial. Thick-film hybrids specifically for applications requiring extreme temperature resistance and ultra-compact form factors.</w:t>
            </w:r>
          </w:p>
        </w:tc>
      </w:tr>
      <w:tr>
        <w:tc>
          <w:tcPr>
            <w:tcW w:type="dxa" w:w="2200"/>
            <w:tcBorders>
              <w:top w:val="none" w:color="FFFFFF" w:sz="0"/>
              <w:left w:val="none" w:color="FFFFFF" w:sz="0"/>
              <w:bottom w:val="none" w:color="FFFFFF" w:sz="0"/>
              <w:right w:val="none" w:color="FFFFFF" w:sz="0"/>
            </w:tcBorders>
            <w:shd w:fill="D6E8F7" w:val="clear"/>
            <w:tcMar>
              <w:top w:type="dxa" w:w="50"/>
              <w:left w:type="dxa" w:w="80"/>
              <w:bottom w:type="dxa" w:w="50"/>
              <w:right w:type="dxa" w:w="60"/>
            </w:tcMar>
          </w:tcPr>
          <w:p>
            <w:r>
              <w:rPr>
                <w:rFonts w:ascii="Arial" w:cs="Arial" w:eastAsia="Arial" w:hAnsi="Arial"/>
                <w:b/>
                <w:bCs/>
                <w:color w:val="1B3A5C"/>
                <w:sz w:val="18"/>
                <w:szCs w:val="18"/>
              </w:rPr>
              <w:t xml:space="preserve">Ownership</w:t>
            </w:r>
          </w:p>
        </w:tc>
        <w:tc>
          <w:tcPr>
            <w:tcW w:type="dxa" w:w="7160"/>
            <w:tcBorders>
              <w:top w:val="none" w:color="FFFFFF" w:sz="0"/>
              <w:left w:val="none" w:color="FFFFFF" w:sz="0"/>
              <w:bottom w:val="none" w:color="FFFFFF" w:sz="0"/>
              <w:right w:val="none" w:color="FFFFFF" w:sz="0"/>
            </w:tcBorders>
            <w:shd w:fill="FFFFFF" w:val="clear"/>
            <w:tcMar>
              <w:top w:type="dxa" w:w="50"/>
              <w:left w:type="dxa" w:w="100"/>
              <w:bottom w:type="dxa" w:w="50"/>
              <w:right w:type="dxa" w:w="80"/>
            </w:tcMar>
          </w:tcPr>
          <w:p>
            <w:r>
              <w:rPr>
                <w:rFonts w:ascii="Arial" w:cs="Arial" w:eastAsia="Arial" w:hAnsi="Arial"/>
                <w:color w:val="333333"/>
                <w:sz w:val="18"/>
                <w:szCs w:val="18"/>
              </w:rPr>
              <w:t xml:space="preserve">Wholly owned by United Electronics Company (UEC), the Advanced Electronics division of Arotech Corp. Israeli defense/security parent (Arotech is publicly traded). Strategic alignment with defense microelectronics.</w:t>
            </w:r>
          </w:p>
        </w:tc>
      </w:tr>
      <w:tr>
        <w:tc>
          <w:tcPr>
            <w:tcW w:type="dxa" w:w="2200"/>
            <w:tcBorders>
              <w:top w:val="none" w:color="FFFFFF" w:sz="0"/>
              <w:left w:val="none" w:color="FFFFFF" w:sz="0"/>
              <w:bottom w:val="none" w:color="FFFFFF" w:sz="0"/>
              <w:right w:val="none" w:color="FFFFFF" w:sz="0"/>
            </w:tcBorders>
            <w:shd w:fill="E8F4FD" w:val="clear"/>
            <w:tcMar>
              <w:top w:type="dxa" w:w="50"/>
              <w:left w:type="dxa" w:w="80"/>
              <w:bottom w:type="dxa" w:w="50"/>
              <w:right w:type="dxa" w:w="60"/>
            </w:tcMar>
          </w:tcPr>
          <w:p>
            <w:r>
              <w:rPr>
                <w:rFonts w:ascii="Arial" w:cs="Arial" w:eastAsia="Arial" w:hAnsi="Arial"/>
                <w:b/>
                <w:bCs/>
                <w:color w:val="1B3A5C"/>
                <w:sz w:val="18"/>
                <w:szCs w:val="18"/>
              </w:rPr>
              <w:t xml:space="preserve">Clark Relevance</w:t>
            </w:r>
          </w:p>
        </w:tc>
        <w:tc>
          <w:tcPr>
            <w:tcW w:type="dxa" w:w="7160"/>
            <w:tcBorders>
              <w:top w:val="none" w:color="FFFFFF" w:sz="0"/>
              <w:left w:val="none" w:color="FFFFFF" w:sz="0"/>
              <w:bottom w:val="none" w:color="FFFFFF" w:sz="0"/>
              <w:right w:val="none" w:color="FFFFFF" w:sz="0"/>
            </w:tcBorders>
            <w:shd w:fill="F5F5F5" w:val="clear"/>
            <w:tcMar>
              <w:top w:type="dxa" w:w="50"/>
              <w:left w:type="dxa" w:w="100"/>
              <w:bottom w:type="dxa" w:w="50"/>
              <w:right w:type="dxa" w:w="80"/>
            </w:tcMar>
          </w:tcPr>
          <w:p>
            <w:r>
              <w:rPr>
                <w:rFonts w:ascii="Arial" w:cs="Arial" w:eastAsia="Arial" w:hAnsi="Arial"/>
                <w:color w:val="333333"/>
                <w:sz w:val="18"/>
                <w:szCs w:val="18"/>
              </w:rPr>
              <w:t xml:space="preserve">HIGH strategic interest for Clark. ACT's thick-film hybrid capability is a differentiated niche that does not overlap with Clark's planned assembly services — it is a complementary capability. ACT's AS9100D certification and IPC-A-610 alignment make it a reference partner or future network node candidate. Its Arotech/UEC parent adds a defense electronics ecosystem context. ACT's Rochester airport proximity provides logistics convenience.</w:t>
            </w:r>
          </w:p>
        </w:tc>
      </w:tr>
    </w:tbl>
    <w:p>
      <w:pPr>
        <w:spacing w:before="40" w:after="0"/>
      </w:pPr>
      <w:r>
        <w:rPr>
          <w:rFonts w:ascii="Arial" w:cs="Arial" w:eastAsia="Arial" w:hAnsi="Arial"/>
          <w:color w:val="333333"/>
          <w:sz w:val="22"/>
          <w:szCs w:val="22"/>
        </w:rPr>
        <w:t xml:space="preserve"/>
      </w:r>
    </w:p>
    <w:p>
      <w:pPr>
        <w:pBdr>
          <w:left w:val="single" w:color="2E6DA4" w:sz="16" w:space="8"/>
        </w:pBdr>
        <w:spacing w:before="240" w:after="40"/>
      </w:pPr>
      <w:r>
        <w:rPr>
          <w:rFonts w:ascii="Arial" w:cs="Arial" w:eastAsia="Arial" w:hAnsi="Arial"/>
          <w:b/>
          <w:bCs/>
          <w:color w:val="1B3A5C"/>
          <w:sz w:val="26"/>
          <w:szCs w:val="26"/>
        </w:rPr>
        <w:t xml:space="preserve">TCS Electronics, Inc.</w:t>
      </w:r>
      <w:r>
        <w:rPr>
          <w:rFonts w:ascii="Arial" w:cs="Arial" w:eastAsia="Arial" w:hAnsi="Arial"/>
          <w:color w:val="2E6DA4"/>
          <w:sz w:val="18"/>
          <w:szCs w:val="18"/>
        </w:rPr>
        <w:t xml:space="preserve">  Tier 2 — Specialist Regional EMS</w:t>
      </w:r>
    </w:p>
    <w:p>
      <w:pPr>
        <w:spacing w:before="0" w:after="80"/>
      </w:pPr>
      <w:r>
        <w:rPr>
          <w:rFonts w:ascii="Arial" w:cs="Arial" w:eastAsia="Arial" w:hAnsi="Arial"/>
          <w:color w:val="555555"/>
          <w:sz w:val="20"/>
          <w:szCs w:val="20"/>
        </w:rPr>
        <w:t xml:space="preserve">Contract electronics manufacturer at the industrial/commercial end of the spectrum. Formerly Badger Technologies. IPC 610/620 certified. Federal contractor (SAM registered) and ITAR registered.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6E8F7" w:val="clear"/>
            <w:tcMar>
              <w:top w:type="dxa" w:w="50"/>
              <w:left w:type="dxa" w:w="80"/>
              <w:bottom w:type="dxa" w:w="50"/>
              <w:right w:type="dxa" w:w="60"/>
            </w:tcMar>
          </w:tcPr>
          <w:p>
            <w:r>
              <w:rPr>
                <w:rFonts w:ascii="Arial" w:cs="Arial" w:eastAsia="Arial" w:hAnsi="Arial"/>
                <w:b/>
                <w:bCs/>
                <w:color w:val="1B3A5C"/>
                <w:sz w:val="18"/>
                <w:szCs w:val="18"/>
              </w:rPr>
              <w:t xml:space="preserve">Location</w:t>
            </w:r>
          </w:p>
        </w:tc>
        <w:tc>
          <w:tcPr>
            <w:tcW w:type="dxa" w:w="7160"/>
            <w:tcBorders>
              <w:top w:val="none" w:color="FFFFFF" w:sz="0"/>
              <w:left w:val="none" w:color="FFFFFF" w:sz="0"/>
              <w:bottom w:val="none" w:color="FFFFFF" w:sz="0"/>
              <w:right w:val="none" w:color="FFFFFF" w:sz="0"/>
            </w:tcBorders>
            <w:shd w:fill="FFFFFF" w:val="clear"/>
            <w:tcMar>
              <w:top w:type="dxa" w:w="50"/>
              <w:left w:type="dxa" w:w="100"/>
              <w:bottom w:type="dxa" w:w="50"/>
              <w:right w:type="dxa" w:w="80"/>
            </w:tcMar>
          </w:tcPr>
          <w:p>
            <w:r>
              <w:rPr>
                <w:rFonts w:ascii="Arial" w:cs="Arial" w:eastAsia="Arial" w:hAnsi="Arial"/>
                <w:color w:val="333333"/>
                <w:sz w:val="18"/>
                <w:szCs w:val="18"/>
              </w:rPr>
              <w:t xml:space="preserve">1124 Corporate Drive East, Farmington, NY 14425 (Ontario County — between Rochester and Finger Lakes)</w:t>
            </w:r>
          </w:p>
        </w:tc>
      </w:tr>
      <w:tr>
        <w:tc>
          <w:tcPr>
            <w:tcW w:type="dxa" w:w="2200"/>
            <w:tcBorders>
              <w:top w:val="none" w:color="FFFFFF" w:sz="0"/>
              <w:left w:val="none" w:color="FFFFFF" w:sz="0"/>
              <w:bottom w:val="none" w:color="FFFFFF" w:sz="0"/>
              <w:right w:val="none" w:color="FFFFFF" w:sz="0"/>
            </w:tcBorders>
            <w:shd w:fill="E8F4FD" w:val="clear"/>
            <w:tcMar>
              <w:top w:type="dxa" w:w="50"/>
              <w:left w:type="dxa" w:w="80"/>
              <w:bottom w:type="dxa" w:w="50"/>
              <w:right w:type="dxa" w:w="60"/>
            </w:tcMar>
          </w:tcPr>
          <w:p>
            <w:r>
              <w:rPr>
                <w:rFonts w:ascii="Arial" w:cs="Arial" w:eastAsia="Arial" w:hAnsi="Arial"/>
                <w:b/>
                <w:bCs/>
                <w:color w:val="1B3A5C"/>
                <w:sz w:val="18"/>
                <w:szCs w:val="18"/>
              </w:rPr>
              <w:t xml:space="preserve">Founded</w:t>
            </w:r>
          </w:p>
        </w:tc>
        <w:tc>
          <w:tcPr>
            <w:tcW w:type="dxa" w:w="7160"/>
            <w:tcBorders>
              <w:top w:val="none" w:color="FFFFFF" w:sz="0"/>
              <w:left w:val="none" w:color="FFFFFF" w:sz="0"/>
              <w:bottom w:val="none" w:color="FFFFFF" w:sz="0"/>
              <w:right w:val="none" w:color="FFFFFF" w:sz="0"/>
            </w:tcBorders>
            <w:shd w:fill="F5F5F5" w:val="clear"/>
            <w:tcMar>
              <w:top w:type="dxa" w:w="50"/>
              <w:left w:type="dxa" w:w="100"/>
              <w:bottom w:type="dxa" w:w="50"/>
              <w:right w:type="dxa" w:w="80"/>
            </w:tcMar>
          </w:tcPr>
          <w:p>
            <w:r>
              <w:rPr>
                <w:rFonts w:ascii="Arial" w:cs="Arial" w:eastAsia="Arial" w:hAnsi="Arial"/>
                <w:color w:val="333333"/>
                <w:sz w:val="18"/>
                <w:szCs w:val="18"/>
              </w:rPr>
              <w:t xml:space="preserve">Originally Badger Technologies. Operates as TCS Electronics at the Farmington campus.</w:t>
            </w:r>
          </w:p>
        </w:tc>
      </w:tr>
      <w:tr>
        <w:tc>
          <w:tcPr>
            <w:tcW w:type="dxa" w:w="2200"/>
            <w:tcBorders>
              <w:top w:val="none" w:color="FFFFFF" w:sz="0"/>
              <w:left w:val="none" w:color="FFFFFF" w:sz="0"/>
              <w:bottom w:val="none" w:color="FFFFFF" w:sz="0"/>
              <w:right w:val="none" w:color="FFFFFF" w:sz="0"/>
            </w:tcBorders>
            <w:shd w:fill="D6E8F7" w:val="clear"/>
            <w:tcMar>
              <w:top w:type="dxa" w:w="50"/>
              <w:left w:type="dxa" w:w="80"/>
              <w:bottom w:type="dxa" w:w="50"/>
              <w:right w:type="dxa" w:w="60"/>
            </w:tcMar>
          </w:tcPr>
          <w:p>
            <w:r>
              <w:rPr>
                <w:rFonts w:ascii="Arial" w:cs="Arial" w:eastAsia="Arial" w:hAnsi="Arial"/>
                <w:b/>
                <w:bCs/>
                <w:color w:val="1B3A5C"/>
                <w:sz w:val="18"/>
                <w:szCs w:val="18"/>
              </w:rPr>
              <w:t xml:space="preserve">Size</w:t>
            </w:r>
          </w:p>
        </w:tc>
        <w:tc>
          <w:tcPr>
            <w:tcW w:type="dxa" w:w="7160"/>
            <w:tcBorders>
              <w:top w:val="none" w:color="FFFFFF" w:sz="0"/>
              <w:left w:val="none" w:color="FFFFFF" w:sz="0"/>
              <w:bottom w:val="none" w:color="FFFFFF" w:sz="0"/>
              <w:right w:val="none" w:color="FFFFFF" w:sz="0"/>
            </w:tcBorders>
            <w:shd w:fill="FFFFFF" w:val="clear"/>
            <w:tcMar>
              <w:top w:type="dxa" w:w="50"/>
              <w:left w:type="dxa" w:w="100"/>
              <w:bottom w:type="dxa" w:w="50"/>
              <w:right w:type="dxa" w:w="80"/>
            </w:tcMar>
          </w:tcPr>
          <w:p>
            <w:r>
              <w:rPr>
                <w:rFonts w:ascii="Arial" w:cs="Arial" w:eastAsia="Arial" w:hAnsi="Arial"/>
                <w:color w:val="333333"/>
                <w:sz w:val="18"/>
                <w:szCs w:val="18"/>
              </w:rPr>
              <w:t xml:space="preserve">Not publicly disclosed. ~$10–25M revenue range estimated.</w:t>
            </w:r>
          </w:p>
        </w:tc>
      </w:tr>
      <w:tr>
        <w:tc>
          <w:tcPr>
            <w:tcW w:type="dxa" w:w="2200"/>
            <w:tcBorders>
              <w:top w:val="none" w:color="FFFFFF" w:sz="0"/>
              <w:left w:val="none" w:color="FFFFFF" w:sz="0"/>
              <w:bottom w:val="none" w:color="FFFFFF" w:sz="0"/>
              <w:right w:val="none" w:color="FFFFFF" w:sz="0"/>
            </w:tcBorders>
            <w:shd w:fill="E8F4FD" w:val="clear"/>
            <w:tcMar>
              <w:top w:type="dxa" w:w="50"/>
              <w:left w:type="dxa" w:w="80"/>
              <w:bottom w:type="dxa" w:w="50"/>
              <w:right w:type="dxa" w:w="60"/>
            </w:tcMar>
          </w:tcPr>
          <w:p>
            <w:r>
              <w:rPr>
                <w:rFonts w:ascii="Arial" w:cs="Arial" w:eastAsia="Arial" w:hAnsi="Arial"/>
                <w:b/>
                <w:bCs/>
                <w:color w:val="1B3A5C"/>
                <w:sz w:val="18"/>
                <w:szCs w:val="18"/>
              </w:rPr>
              <w:t xml:space="preserve">Certifications</w:t>
            </w:r>
          </w:p>
        </w:tc>
        <w:tc>
          <w:tcPr>
            <w:tcW w:type="dxa" w:w="7160"/>
            <w:tcBorders>
              <w:top w:val="none" w:color="FFFFFF" w:sz="0"/>
              <w:left w:val="none" w:color="FFFFFF" w:sz="0"/>
              <w:bottom w:val="none" w:color="FFFFFF" w:sz="0"/>
              <w:right w:val="none" w:color="FFFFFF" w:sz="0"/>
            </w:tcBorders>
            <w:shd w:fill="F5F5F5" w:val="clear"/>
            <w:tcMar>
              <w:top w:type="dxa" w:w="50"/>
              <w:left w:type="dxa" w:w="100"/>
              <w:bottom w:type="dxa" w:w="50"/>
              <w:right w:type="dxa" w:w="80"/>
            </w:tcMar>
          </w:tcPr>
          <w:p>
            <w:r>
              <w:rPr>
                <w:rFonts w:ascii="Arial" w:cs="Arial" w:eastAsia="Arial" w:hAnsi="Arial"/>
                <w:color w:val="333333"/>
                <w:sz w:val="18"/>
                <w:szCs w:val="18"/>
              </w:rPr>
              <w:t xml:space="preserve">AS9100D. IPC 610/620 Class II standard, Class III on request. ITAR registered. SAM.gov registered federal contractor. UL and CSA certified.</w:t>
            </w:r>
          </w:p>
        </w:tc>
      </w:tr>
      <w:tr>
        <w:tc>
          <w:tcPr>
            <w:tcW w:type="dxa" w:w="2200"/>
            <w:tcBorders>
              <w:top w:val="none" w:color="FFFFFF" w:sz="0"/>
              <w:left w:val="none" w:color="FFFFFF" w:sz="0"/>
              <w:bottom w:val="none" w:color="FFFFFF" w:sz="0"/>
              <w:right w:val="none" w:color="FFFFFF" w:sz="0"/>
            </w:tcBorders>
            <w:shd w:fill="D6E8F7" w:val="clear"/>
            <w:tcMar>
              <w:top w:type="dxa" w:w="50"/>
              <w:left w:type="dxa" w:w="80"/>
              <w:bottom w:type="dxa" w:w="50"/>
              <w:right w:type="dxa" w:w="60"/>
            </w:tcMar>
          </w:tcPr>
          <w:p>
            <w:r>
              <w:rPr>
                <w:rFonts w:ascii="Arial" w:cs="Arial" w:eastAsia="Arial" w:hAnsi="Arial"/>
                <w:b/>
                <w:bCs/>
                <w:color w:val="1B3A5C"/>
                <w:sz w:val="18"/>
                <w:szCs w:val="18"/>
              </w:rPr>
              <w:t xml:space="preserve">Capabilities</w:t>
            </w:r>
          </w:p>
        </w:tc>
        <w:tc>
          <w:tcPr>
            <w:tcW w:type="dxa" w:w="7160"/>
            <w:tcBorders>
              <w:top w:val="none" w:color="FFFFFF" w:sz="0"/>
              <w:left w:val="none" w:color="FFFFFF" w:sz="0"/>
              <w:bottom w:val="none" w:color="FFFFFF" w:sz="0"/>
              <w:right w:val="none" w:color="FFFFFF" w:sz="0"/>
            </w:tcBorders>
            <w:shd w:fill="FFFFFF" w:val="clear"/>
            <w:tcMar>
              <w:top w:type="dxa" w:w="50"/>
              <w:left w:type="dxa" w:w="100"/>
              <w:bottom w:type="dxa" w:w="50"/>
              <w:right w:type="dxa" w:w="80"/>
            </w:tcMar>
          </w:tcPr>
          <w:p>
            <w:r>
              <w:rPr>
                <w:rFonts w:ascii="Arial" w:cs="Arial" w:eastAsia="Arial" w:hAnsi="Arial"/>
                <w:color w:val="333333"/>
                <w:sz w:val="18"/>
                <w:szCs w:val="18"/>
              </w:rPr>
              <w:t xml:space="preserve">PCB assembly (SMT, through-hole, flex, rigid, multi-layer, BGA), cable and wire harness manufacturing (30 to 2 gauge, up to 500 feet, braided/mineral/molded/overmolded/semi-rigid/shielded), full electro-mechanical box builds. IC programming. Automated Optical Inspection. Test fixture development. Product lifecycle services.</w:t>
            </w:r>
          </w:p>
        </w:tc>
      </w:tr>
      <w:tr>
        <w:tc>
          <w:tcPr>
            <w:tcW w:type="dxa" w:w="2200"/>
            <w:tcBorders>
              <w:top w:val="none" w:color="FFFFFF" w:sz="0"/>
              <w:left w:val="none" w:color="FFFFFF" w:sz="0"/>
              <w:bottom w:val="none" w:color="FFFFFF" w:sz="0"/>
              <w:right w:val="none" w:color="FFFFFF" w:sz="0"/>
            </w:tcBorders>
            <w:shd w:fill="E8F4FD" w:val="clear"/>
            <w:tcMar>
              <w:top w:type="dxa" w:w="50"/>
              <w:left w:type="dxa" w:w="80"/>
              <w:bottom w:type="dxa" w:w="50"/>
              <w:right w:type="dxa" w:w="60"/>
            </w:tcMar>
          </w:tcPr>
          <w:p>
            <w:r>
              <w:rPr>
                <w:rFonts w:ascii="Arial" w:cs="Arial" w:eastAsia="Arial" w:hAnsi="Arial"/>
                <w:b/>
                <w:bCs/>
                <w:color w:val="1B3A5C"/>
                <w:sz w:val="18"/>
                <w:szCs w:val="18"/>
              </w:rPr>
              <w:t xml:space="preserve">Key Markets</w:t>
            </w:r>
          </w:p>
        </w:tc>
        <w:tc>
          <w:tcPr>
            <w:tcW w:type="dxa" w:w="7160"/>
            <w:tcBorders>
              <w:top w:val="none" w:color="FFFFFF" w:sz="0"/>
              <w:left w:val="none" w:color="FFFFFF" w:sz="0"/>
              <w:bottom w:val="none" w:color="FFFFFF" w:sz="0"/>
              <w:right w:val="none" w:color="FFFFFF" w:sz="0"/>
            </w:tcBorders>
            <w:shd w:fill="F5F5F5" w:val="clear"/>
            <w:tcMar>
              <w:top w:type="dxa" w:w="50"/>
              <w:left w:type="dxa" w:w="100"/>
              <w:bottom w:type="dxa" w:w="50"/>
              <w:right w:type="dxa" w:w="80"/>
            </w:tcMar>
          </w:tcPr>
          <w:p>
            <w:r>
              <w:rPr>
                <w:rFonts w:ascii="Arial" w:cs="Arial" w:eastAsia="Arial" w:hAnsi="Arial"/>
                <w:color w:val="333333"/>
                <w:sz w:val="18"/>
                <w:szCs w:val="18"/>
              </w:rPr>
              <w:t xml:space="preserve">Industrial and commercial (primary), aerospace, defense, medical, automotive, robotics, materials handling, sensors, heavy industry monitoring. Federal contractor status indicates DoD-adjacent work.</w:t>
            </w:r>
          </w:p>
        </w:tc>
      </w:tr>
      <w:tr>
        <w:tc>
          <w:tcPr>
            <w:tcW w:type="dxa" w:w="2200"/>
            <w:tcBorders>
              <w:top w:val="none" w:color="FFFFFF" w:sz="0"/>
              <w:left w:val="none" w:color="FFFFFF" w:sz="0"/>
              <w:bottom w:val="none" w:color="FFFFFF" w:sz="0"/>
              <w:right w:val="none" w:color="FFFFFF" w:sz="0"/>
            </w:tcBorders>
            <w:shd w:fill="D6E8F7" w:val="clear"/>
            <w:tcMar>
              <w:top w:type="dxa" w:w="50"/>
              <w:left w:type="dxa" w:w="80"/>
              <w:bottom w:type="dxa" w:w="50"/>
              <w:right w:type="dxa" w:w="60"/>
            </w:tcMar>
          </w:tcPr>
          <w:p>
            <w:r>
              <w:rPr>
                <w:rFonts w:ascii="Arial" w:cs="Arial" w:eastAsia="Arial" w:hAnsi="Arial"/>
                <w:b/>
                <w:bCs/>
                <w:color w:val="1B3A5C"/>
                <w:sz w:val="18"/>
                <w:szCs w:val="18"/>
              </w:rPr>
              <w:t xml:space="preserve">Ownership</w:t>
            </w:r>
          </w:p>
        </w:tc>
        <w:tc>
          <w:tcPr>
            <w:tcW w:type="dxa" w:w="7160"/>
            <w:tcBorders>
              <w:top w:val="none" w:color="FFFFFF" w:sz="0"/>
              <w:left w:val="none" w:color="FFFFFF" w:sz="0"/>
              <w:bottom w:val="none" w:color="FFFFFF" w:sz="0"/>
              <w:right w:val="none" w:color="FFFFFF" w:sz="0"/>
            </w:tcBorders>
            <w:shd w:fill="FFFFFF" w:val="clear"/>
            <w:tcMar>
              <w:top w:type="dxa" w:w="50"/>
              <w:left w:type="dxa" w:w="100"/>
              <w:bottom w:type="dxa" w:w="50"/>
              <w:right w:type="dxa" w:w="80"/>
            </w:tcMar>
          </w:tcPr>
          <w:p>
            <w:r>
              <w:rPr>
                <w:rFonts w:ascii="Arial" w:cs="Arial" w:eastAsia="Arial" w:hAnsi="Arial"/>
                <w:color w:val="333333"/>
                <w:sz w:val="18"/>
                <w:szCs w:val="18"/>
              </w:rPr>
              <w:t xml:space="preserve">Private. Appears independently operated. No public ownership disclosure.</w:t>
            </w:r>
          </w:p>
        </w:tc>
      </w:tr>
      <w:tr>
        <w:tc>
          <w:tcPr>
            <w:tcW w:type="dxa" w:w="2200"/>
            <w:tcBorders>
              <w:top w:val="none" w:color="FFFFFF" w:sz="0"/>
              <w:left w:val="none" w:color="FFFFFF" w:sz="0"/>
              <w:bottom w:val="none" w:color="FFFFFF" w:sz="0"/>
              <w:right w:val="none" w:color="FFFFFF" w:sz="0"/>
            </w:tcBorders>
            <w:shd w:fill="E8F4FD" w:val="clear"/>
            <w:tcMar>
              <w:top w:type="dxa" w:w="50"/>
              <w:left w:type="dxa" w:w="80"/>
              <w:bottom w:type="dxa" w:w="50"/>
              <w:right w:type="dxa" w:w="60"/>
            </w:tcMar>
          </w:tcPr>
          <w:p>
            <w:r>
              <w:rPr>
                <w:rFonts w:ascii="Arial" w:cs="Arial" w:eastAsia="Arial" w:hAnsi="Arial"/>
                <w:b/>
                <w:bCs/>
                <w:color w:val="1B3A5C"/>
                <w:sz w:val="18"/>
                <w:szCs w:val="18"/>
              </w:rPr>
              <w:t xml:space="preserve">Clark Relevance</w:t>
            </w:r>
          </w:p>
        </w:tc>
        <w:tc>
          <w:tcPr>
            <w:tcW w:type="dxa" w:w="7160"/>
            <w:tcBorders>
              <w:top w:val="none" w:color="FFFFFF" w:sz="0"/>
              <w:left w:val="none" w:color="FFFFFF" w:sz="0"/>
              <w:bottom w:val="none" w:color="FFFFFF" w:sz="0"/>
              <w:right w:val="none" w:color="FFFFFF" w:sz="0"/>
            </w:tcBorders>
            <w:shd w:fill="F5F5F5" w:val="clear"/>
            <w:tcMar>
              <w:top w:type="dxa" w:w="50"/>
              <w:left w:type="dxa" w:w="100"/>
              <w:bottom w:type="dxa" w:w="50"/>
              <w:right w:type="dxa" w:w="80"/>
            </w:tcMar>
          </w:tcPr>
          <w:p>
            <w:r>
              <w:rPr>
                <w:rFonts w:ascii="Arial" w:cs="Arial" w:eastAsia="Arial" w:hAnsi="Arial"/>
                <w:color w:val="333333"/>
                <w:sz w:val="18"/>
                <w:szCs w:val="18"/>
              </w:rPr>
              <w:t xml:space="preserve">MEDIUM. TCS is a Clark-addressable company — its size, IPC-aligned quality system, and ITAR registration suggest it is in Clark's training and Clarkware adoption sweet spot. The industrial/commercial focus means less defense intensity than REDCOM or ACT, but federal contractor status and Class III capability on request indicate aspirational defense positioning. IPC training demand likely: IPC 610/620 alignment needs continual workforce upkeep. Distance: ~30 miles from Rochester.</w:t>
            </w:r>
          </w:p>
        </w:tc>
      </w:tr>
    </w:tbl>
    <w:p>
      <w:pPr>
        <w:spacing w:before="40" w:after="0"/>
      </w:pPr>
      <w:r>
        <w:rPr>
          <w:rFonts w:ascii="Arial" w:cs="Arial" w:eastAsia="Arial" w:hAnsi="Arial"/>
          <w:color w:val="333333"/>
          <w:sz w:val="22"/>
          <w:szCs w:val="22"/>
        </w:rPr>
        <w:t xml:space="preserve"/>
      </w:r>
    </w:p>
    <w:p>
      <w:pPr>
        <w:pBdr>
          <w:left w:val="single" w:color="2E6DA4" w:sz="16" w:space="8"/>
        </w:pBdr>
        <w:spacing w:before="240" w:after="40"/>
      </w:pPr>
      <w:r>
        <w:rPr>
          <w:rFonts w:ascii="Arial" w:cs="Arial" w:eastAsia="Arial" w:hAnsi="Arial"/>
          <w:b/>
          <w:bCs/>
          <w:color w:val="1B3A5C"/>
          <w:sz w:val="26"/>
          <w:szCs w:val="26"/>
        </w:rPr>
        <w:t xml:space="preserve">Mettrix Technology Corp.</w:t>
      </w:r>
      <w:r>
        <w:rPr>
          <w:rFonts w:ascii="Arial" w:cs="Arial" w:eastAsia="Arial" w:hAnsi="Arial"/>
          <w:color w:val="2E6DA4"/>
          <w:sz w:val="18"/>
          <w:szCs w:val="18"/>
        </w:rPr>
        <w:t xml:space="preserve">  Tier 2 — Specialist Regional EMS</w:t>
      </w:r>
    </w:p>
    <w:p>
      <w:pPr>
        <w:spacing w:before="0" w:after="80"/>
      </w:pPr>
      <w:r>
        <w:rPr>
          <w:rFonts w:ascii="Arial" w:cs="Arial" w:eastAsia="Arial" w:hAnsi="Arial"/>
          <w:color w:val="555555"/>
          <w:sz w:val="20"/>
          <w:szCs w:val="20"/>
        </w:rPr>
        <w:t xml:space="preserve">Quick-turn prototype and small-to-medium production specialist based in the Buffalo area. Serving clients from startups to Fortune 500 since 1998. Class 3 capable. Known for design services, reverse engineering, and software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6E8F7" w:val="clear"/>
            <w:tcMar>
              <w:top w:type="dxa" w:w="50"/>
              <w:left w:type="dxa" w:w="80"/>
              <w:bottom w:type="dxa" w:w="50"/>
              <w:right w:type="dxa" w:w="60"/>
            </w:tcMar>
          </w:tcPr>
          <w:p>
            <w:r>
              <w:rPr>
                <w:rFonts w:ascii="Arial" w:cs="Arial" w:eastAsia="Arial" w:hAnsi="Arial"/>
                <w:b/>
                <w:bCs/>
                <w:color w:val="1B3A5C"/>
                <w:sz w:val="18"/>
                <w:szCs w:val="18"/>
              </w:rPr>
              <w:t xml:space="preserve">Location</w:t>
            </w:r>
          </w:p>
        </w:tc>
        <w:tc>
          <w:tcPr>
            <w:tcW w:type="dxa" w:w="7160"/>
            <w:tcBorders>
              <w:top w:val="none" w:color="FFFFFF" w:sz="0"/>
              <w:left w:val="none" w:color="FFFFFF" w:sz="0"/>
              <w:bottom w:val="none" w:color="FFFFFF" w:sz="0"/>
              <w:right w:val="none" w:color="FFFFFF" w:sz="0"/>
            </w:tcBorders>
            <w:shd w:fill="FFFFFF" w:val="clear"/>
            <w:tcMar>
              <w:top w:type="dxa" w:w="50"/>
              <w:left w:type="dxa" w:w="100"/>
              <w:bottom w:type="dxa" w:w="50"/>
              <w:right w:type="dxa" w:w="80"/>
            </w:tcMar>
          </w:tcPr>
          <w:p>
            <w:r>
              <w:rPr>
                <w:rFonts w:ascii="Arial" w:cs="Arial" w:eastAsia="Arial" w:hAnsi="Arial"/>
                <w:color w:val="333333"/>
                <w:sz w:val="18"/>
                <w:szCs w:val="18"/>
              </w:rPr>
              <w:t xml:space="preserve">Buffalo, NY area. Address not publicly confirmed on main site. Has been described as Hudson Valley-affiliated in some materials — location should be verified directly.</w:t>
            </w:r>
          </w:p>
        </w:tc>
      </w:tr>
      <w:tr>
        <w:tc>
          <w:tcPr>
            <w:tcW w:type="dxa" w:w="2200"/>
            <w:tcBorders>
              <w:top w:val="none" w:color="FFFFFF" w:sz="0"/>
              <w:left w:val="none" w:color="FFFFFF" w:sz="0"/>
              <w:bottom w:val="none" w:color="FFFFFF" w:sz="0"/>
              <w:right w:val="none" w:color="FFFFFF" w:sz="0"/>
            </w:tcBorders>
            <w:shd w:fill="E8F4FD" w:val="clear"/>
            <w:tcMar>
              <w:top w:type="dxa" w:w="50"/>
              <w:left w:type="dxa" w:w="80"/>
              <w:bottom w:type="dxa" w:w="50"/>
              <w:right w:type="dxa" w:w="60"/>
            </w:tcMar>
          </w:tcPr>
          <w:p>
            <w:r>
              <w:rPr>
                <w:rFonts w:ascii="Arial" w:cs="Arial" w:eastAsia="Arial" w:hAnsi="Arial"/>
                <w:b/>
                <w:bCs/>
                <w:color w:val="1B3A5C"/>
                <w:sz w:val="18"/>
                <w:szCs w:val="18"/>
              </w:rPr>
              <w:t xml:space="preserve">Founded</w:t>
            </w:r>
          </w:p>
        </w:tc>
        <w:tc>
          <w:tcPr>
            <w:tcW w:type="dxa" w:w="7160"/>
            <w:tcBorders>
              <w:top w:val="none" w:color="FFFFFF" w:sz="0"/>
              <w:left w:val="none" w:color="FFFFFF" w:sz="0"/>
              <w:bottom w:val="none" w:color="FFFFFF" w:sz="0"/>
              <w:right w:val="none" w:color="FFFFFF" w:sz="0"/>
            </w:tcBorders>
            <w:shd w:fill="F5F5F5" w:val="clear"/>
            <w:tcMar>
              <w:top w:type="dxa" w:w="50"/>
              <w:left w:type="dxa" w:w="100"/>
              <w:bottom w:type="dxa" w:w="50"/>
              <w:right w:type="dxa" w:w="80"/>
            </w:tcMar>
          </w:tcPr>
          <w:p>
            <w:r>
              <w:rPr>
                <w:rFonts w:ascii="Arial" w:cs="Arial" w:eastAsia="Arial" w:hAnsi="Arial"/>
                <w:color w:val="333333"/>
                <w:sz w:val="18"/>
                <w:szCs w:val="18"/>
              </w:rPr>
              <w:t xml:space="preserve">1998</w:t>
            </w:r>
          </w:p>
        </w:tc>
      </w:tr>
      <w:tr>
        <w:tc>
          <w:tcPr>
            <w:tcW w:type="dxa" w:w="2200"/>
            <w:tcBorders>
              <w:top w:val="none" w:color="FFFFFF" w:sz="0"/>
              <w:left w:val="none" w:color="FFFFFF" w:sz="0"/>
              <w:bottom w:val="none" w:color="FFFFFF" w:sz="0"/>
              <w:right w:val="none" w:color="FFFFFF" w:sz="0"/>
            </w:tcBorders>
            <w:shd w:fill="D6E8F7" w:val="clear"/>
            <w:tcMar>
              <w:top w:type="dxa" w:w="50"/>
              <w:left w:type="dxa" w:w="80"/>
              <w:bottom w:type="dxa" w:w="50"/>
              <w:right w:type="dxa" w:w="60"/>
            </w:tcMar>
          </w:tcPr>
          <w:p>
            <w:r>
              <w:rPr>
                <w:rFonts w:ascii="Arial" w:cs="Arial" w:eastAsia="Arial" w:hAnsi="Arial"/>
                <w:b/>
                <w:bCs/>
                <w:color w:val="1B3A5C"/>
                <w:sz w:val="18"/>
                <w:szCs w:val="18"/>
              </w:rPr>
              <w:t xml:space="preserve">Size</w:t>
            </w:r>
          </w:p>
        </w:tc>
        <w:tc>
          <w:tcPr>
            <w:tcW w:type="dxa" w:w="7160"/>
            <w:tcBorders>
              <w:top w:val="none" w:color="FFFFFF" w:sz="0"/>
              <w:left w:val="none" w:color="FFFFFF" w:sz="0"/>
              <w:bottom w:val="none" w:color="FFFFFF" w:sz="0"/>
              <w:right w:val="none" w:color="FFFFFF" w:sz="0"/>
            </w:tcBorders>
            <w:shd w:fill="FFFFFF" w:val="clear"/>
            <w:tcMar>
              <w:top w:type="dxa" w:w="50"/>
              <w:left w:type="dxa" w:w="100"/>
              <w:bottom w:type="dxa" w:w="50"/>
              <w:right w:type="dxa" w:w="80"/>
            </w:tcMar>
          </w:tcPr>
          <w:p>
            <w:r>
              <w:rPr>
                <w:rFonts w:ascii="Arial" w:cs="Arial" w:eastAsia="Arial" w:hAnsi="Arial"/>
                <w:color w:val="333333"/>
                <w:sz w:val="18"/>
                <w:szCs w:val="18"/>
              </w:rPr>
              <w:t xml:space="preserve">~25 employees estimated. Privately held.</w:t>
            </w:r>
          </w:p>
        </w:tc>
      </w:tr>
      <w:tr>
        <w:tc>
          <w:tcPr>
            <w:tcW w:type="dxa" w:w="2200"/>
            <w:tcBorders>
              <w:top w:val="none" w:color="FFFFFF" w:sz="0"/>
              <w:left w:val="none" w:color="FFFFFF" w:sz="0"/>
              <w:bottom w:val="none" w:color="FFFFFF" w:sz="0"/>
              <w:right w:val="none" w:color="FFFFFF" w:sz="0"/>
            </w:tcBorders>
            <w:shd w:fill="E8F4FD" w:val="clear"/>
            <w:tcMar>
              <w:top w:type="dxa" w:w="50"/>
              <w:left w:type="dxa" w:w="80"/>
              <w:bottom w:type="dxa" w:w="50"/>
              <w:right w:type="dxa" w:w="60"/>
            </w:tcMar>
          </w:tcPr>
          <w:p>
            <w:r>
              <w:rPr>
                <w:rFonts w:ascii="Arial" w:cs="Arial" w:eastAsia="Arial" w:hAnsi="Arial"/>
                <w:b/>
                <w:bCs/>
                <w:color w:val="1B3A5C"/>
                <w:sz w:val="18"/>
                <w:szCs w:val="18"/>
              </w:rPr>
              <w:t xml:space="preserve">Certifications</w:t>
            </w:r>
          </w:p>
        </w:tc>
        <w:tc>
          <w:tcPr>
            <w:tcW w:type="dxa" w:w="7160"/>
            <w:tcBorders>
              <w:top w:val="none" w:color="FFFFFF" w:sz="0"/>
              <w:left w:val="none" w:color="FFFFFF" w:sz="0"/>
              <w:bottom w:val="none" w:color="FFFFFF" w:sz="0"/>
              <w:right w:val="none" w:color="FFFFFF" w:sz="0"/>
            </w:tcBorders>
            <w:shd w:fill="F5F5F5" w:val="clear"/>
            <w:tcMar>
              <w:top w:type="dxa" w:w="50"/>
              <w:left w:type="dxa" w:w="100"/>
              <w:bottom w:type="dxa" w:w="50"/>
              <w:right w:type="dxa" w:w="80"/>
            </w:tcMar>
          </w:tcPr>
          <w:p>
            <w:r>
              <w:rPr>
                <w:rFonts w:ascii="Arial" w:cs="Arial" w:eastAsia="Arial" w:hAnsi="Arial"/>
                <w:color w:val="333333"/>
                <w:sz w:val="18"/>
                <w:szCs w:val="18"/>
              </w:rPr>
              <w:t xml:space="preserve">Class 3 assembly capable (military-grade reliability). RoHS compliant. No public ISO or AS9100 certification listed.</w:t>
            </w:r>
          </w:p>
        </w:tc>
      </w:tr>
      <w:tr>
        <w:tc>
          <w:tcPr>
            <w:tcW w:type="dxa" w:w="2200"/>
            <w:tcBorders>
              <w:top w:val="none" w:color="FFFFFF" w:sz="0"/>
              <w:left w:val="none" w:color="FFFFFF" w:sz="0"/>
              <w:bottom w:val="none" w:color="FFFFFF" w:sz="0"/>
              <w:right w:val="none" w:color="FFFFFF" w:sz="0"/>
            </w:tcBorders>
            <w:shd w:fill="D6E8F7" w:val="clear"/>
            <w:tcMar>
              <w:top w:type="dxa" w:w="50"/>
              <w:left w:type="dxa" w:w="80"/>
              <w:bottom w:type="dxa" w:w="50"/>
              <w:right w:type="dxa" w:w="60"/>
            </w:tcMar>
          </w:tcPr>
          <w:p>
            <w:r>
              <w:rPr>
                <w:rFonts w:ascii="Arial" w:cs="Arial" w:eastAsia="Arial" w:hAnsi="Arial"/>
                <w:b/>
                <w:bCs/>
                <w:color w:val="1B3A5C"/>
                <w:sz w:val="18"/>
                <w:szCs w:val="18"/>
              </w:rPr>
              <w:t xml:space="preserve">Capabilities</w:t>
            </w:r>
          </w:p>
        </w:tc>
        <w:tc>
          <w:tcPr>
            <w:tcW w:type="dxa" w:w="7160"/>
            <w:tcBorders>
              <w:top w:val="none" w:color="FFFFFF" w:sz="0"/>
              <w:left w:val="none" w:color="FFFFFF" w:sz="0"/>
              <w:bottom w:val="none" w:color="FFFFFF" w:sz="0"/>
              <w:right w:val="none" w:color="FFFFFF" w:sz="0"/>
            </w:tcBorders>
            <w:shd w:fill="FFFFFF" w:val="clear"/>
            <w:tcMar>
              <w:top w:type="dxa" w:w="50"/>
              <w:left w:type="dxa" w:w="100"/>
              <w:bottom w:type="dxa" w:w="50"/>
              <w:right w:type="dxa" w:w="80"/>
            </w:tcMar>
          </w:tcPr>
          <w:p>
            <w:r>
              <w:rPr>
                <w:rFonts w:ascii="Arial" w:cs="Arial" w:eastAsia="Arial" w:hAnsi="Arial"/>
                <w:color w:val="333333"/>
                <w:sz w:val="18"/>
                <w:szCs w:val="18"/>
              </w:rPr>
              <w:t xml:space="preserve">PCB assembly (SMT, through-hole), box build, system integration, LED light engine design and assembly, design and prototyping, PCB layout and IC layout, reverse engineering, software loading and product configuration, warehousing and fulfillment, traceability and packaging/labeling. Quick turn 24-hour to 2-week. Prototype (1–25 pieces) to production runs of 10,000+.</w:t>
            </w:r>
          </w:p>
        </w:tc>
      </w:tr>
      <w:tr>
        <w:tc>
          <w:tcPr>
            <w:tcW w:type="dxa" w:w="2200"/>
            <w:tcBorders>
              <w:top w:val="none" w:color="FFFFFF" w:sz="0"/>
              <w:left w:val="none" w:color="FFFFFF" w:sz="0"/>
              <w:bottom w:val="none" w:color="FFFFFF" w:sz="0"/>
              <w:right w:val="none" w:color="FFFFFF" w:sz="0"/>
            </w:tcBorders>
            <w:shd w:fill="E8F4FD" w:val="clear"/>
            <w:tcMar>
              <w:top w:type="dxa" w:w="50"/>
              <w:left w:type="dxa" w:w="80"/>
              <w:bottom w:type="dxa" w:w="50"/>
              <w:right w:type="dxa" w:w="60"/>
            </w:tcMar>
          </w:tcPr>
          <w:p>
            <w:r>
              <w:rPr>
                <w:rFonts w:ascii="Arial" w:cs="Arial" w:eastAsia="Arial" w:hAnsi="Arial"/>
                <w:b/>
                <w:bCs/>
                <w:color w:val="1B3A5C"/>
                <w:sz w:val="18"/>
                <w:szCs w:val="18"/>
              </w:rPr>
              <w:t xml:space="preserve">Key Markets</w:t>
            </w:r>
          </w:p>
        </w:tc>
        <w:tc>
          <w:tcPr>
            <w:tcW w:type="dxa" w:w="7160"/>
            <w:tcBorders>
              <w:top w:val="none" w:color="FFFFFF" w:sz="0"/>
              <w:left w:val="none" w:color="FFFFFF" w:sz="0"/>
              <w:bottom w:val="none" w:color="FFFFFF" w:sz="0"/>
              <w:right w:val="none" w:color="FFFFFF" w:sz="0"/>
            </w:tcBorders>
            <w:shd w:fill="F5F5F5" w:val="clear"/>
            <w:tcMar>
              <w:top w:type="dxa" w:w="50"/>
              <w:left w:type="dxa" w:w="100"/>
              <w:bottom w:type="dxa" w:w="50"/>
              <w:right w:type="dxa" w:w="80"/>
            </w:tcMar>
          </w:tcPr>
          <w:p>
            <w:r>
              <w:rPr>
                <w:rFonts w:ascii="Arial" w:cs="Arial" w:eastAsia="Arial" w:hAnsi="Arial"/>
                <w:color w:val="333333"/>
                <w:sz w:val="18"/>
                <w:szCs w:val="18"/>
              </w:rPr>
              <w:t xml:space="preserve">Broad — industrial, medical (surgical), defense-adjacent, research labs, wildlife monitoring (Panthera digital cameras), power grid electronics (GE Vernova customer), aerospace/defense interest. Second and third tier OEMs.</w:t>
            </w:r>
          </w:p>
        </w:tc>
      </w:tr>
      <w:tr>
        <w:tc>
          <w:tcPr>
            <w:tcW w:type="dxa" w:w="2200"/>
            <w:tcBorders>
              <w:top w:val="none" w:color="FFFFFF" w:sz="0"/>
              <w:left w:val="none" w:color="FFFFFF" w:sz="0"/>
              <w:bottom w:val="none" w:color="FFFFFF" w:sz="0"/>
              <w:right w:val="none" w:color="FFFFFF" w:sz="0"/>
            </w:tcBorders>
            <w:shd w:fill="D6E8F7" w:val="clear"/>
            <w:tcMar>
              <w:top w:type="dxa" w:w="50"/>
              <w:left w:type="dxa" w:w="80"/>
              <w:bottom w:type="dxa" w:w="50"/>
              <w:right w:type="dxa" w:w="60"/>
            </w:tcMar>
          </w:tcPr>
          <w:p>
            <w:r>
              <w:rPr>
                <w:rFonts w:ascii="Arial" w:cs="Arial" w:eastAsia="Arial" w:hAnsi="Arial"/>
                <w:b/>
                <w:bCs/>
                <w:color w:val="1B3A5C"/>
                <w:sz w:val="18"/>
                <w:szCs w:val="18"/>
              </w:rPr>
              <w:t xml:space="preserve">Ownership</w:t>
            </w:r>
          </w:p>
        </w:tc>
        <w:tc>
          <w:tcPr>
            <w:tcW w:type="dxa" w:w="7160"/>
            <w:tcBorders>
              <w:top w:val="none" w:color="FFFFFF" w:sz="0"/>
              <w:left w:val="none" w:color="FFFFFF" w:sz="0"/>
              <w:bottom w:val="none" w:color="FFFFFF" w:sz="0"/>
              <w:right w:val="none" w:color="FFFFFF" w:sz="0"/>
            </w:tcBorders>
            <w:shd w:fill="FFFFFF" w:val="clear"/>
            <w:tcMar>
              <w:top w:type="dxa" w:w="50"/>
              <w:left w:type="dxa" w:w="100"/>
              <w:bottom w:type="dxa" w:w="50"/>
              <w:right w:type="dxa" w:w="80"/>
            </w:tcMar>
          </w:tcPr>
          <w:p>
            <w:r>
              <w:rPr>
                <w:rFonts w:ascii="Arial" w:cs="Arial" w:eastAsia="Arial" w:hAnsi="Arial"/>
                <w:color w:val="333333"/>
                <w:sz w:val="18"/>
                <w:szCs w:val="18"/>
              </w:rPr>
              <w:t xml:space="preserve">Private. No public ownership information.</w:t>
            </w:r>
          </w:p>
        </w:tc>
      </w:tr>
      <w:tr>
        <w:tc>
          <w:tcPr>
            <w:tcW w:type="dxa" w:w="2200"/>
            <w:tcBorders>
              <w:top w:val="none" w:color="FFFFFF" w:sz="0"/>
              <w:left w:val="none" w:color="FFFFFF" w:sz="0"/>
              <w:bottom w:val="none" w:color="FFFFFF" w:sz="0"/>
              <w:right w:val="none" w:color="FFFFFF" w:sz="0"/>
            </w:tcBorders>
            <w:shd w:fill="E8F4FD" w:val="clear"/>
            <w:tcMar>
              <w:top w:type="dxa" w:w="50"/>
              <w:left w:type="dxa" w:w="80"/>
              <w:bottom w:type="dxa" w:w="50"/>
              <w:right w:type="dxa" w:w="60"/>
            </w:tcMar>
          </w:tcPr>
          <w:p>
            <w:r>
              <w:rPr>
                <w:rFonts w:ascii="Arial" w:cs="Arial" w:eastAsia="Arial" w:hAnsi="Arial"/>
                <w:b/>
                <w:bCs/>
                <w:color w:val="1B3A5C"/>
                <w:sz w:val="18"/>
                <w:szCs w:val="18"/>
              </w:rPr>
              <w:t xml:space="preserve">Clark Relevance</w:t>
            </w:r>
          </w:p>
        </w:tc>
        <w:tc>
          <w:tcPr>
            <w:tcW w:type="dxa" w:w="7160"/>
            <w:tcBorders>
              <w:top w:val="none" w:color="FFFFFF" w:sz="0"/>
              <w:left w:val="none" w:color="FFFFFF" w:sz="0"/>
              <w:bottom w:val="none" w:color="FFFFFF" w:sz="0"/>
              <w:right w:val="none" w:color="FFFFFF" w:sz="0"/>
            </w:tcBorders>
            <w:shd w:fill="F5F5F5" w:val="clear"/>
            <w:tcMar>
              <w:top w:type="dxa" w:w="50"/>
              <w:left w:type="dxa" w:w="100"/>
              <w:bottom w:type="dxa" w:w="50"/>
              <w:right w:type="dxa" w:w="80"/>
            </w:tcMar>
          </w:tcPr>
          <w:p>
            <w:r>
              <w:rPr>
                <w:rFonts w:ascii="Arial" w:cs="Arial" w:eastAsia="Arial" w:hAnsi="Arial"/>
                <w:color w:val="333333"/>
                <w:sz w:val="18"/>
                <w:szCs w:val="18"/>
              </w:rPr>
              <w:t xml:space="preserve">HIGH for Clark near term. Mettrix is Clark's clearest Buffalo-side peer — a small, agile, precision-capable shop without heavyweight certifications. Its quick-turn prototype model, software loading capability, and Class 3 self-description make it both a potential corridor partner and a competitive benchmark. A direct visit is warranted early. Mettrix's GE Vernova relationship puts it in the energy/power electronics adjacency relevant to Buffalo Niagara's grid investment wave.</w:t>
            </w:r>
          </w:p>
        </w:tc>
      </w:tr>
    </w:tbl>
    <w:p>
      <w:pPr>
        <w:spacing w:before="40" w:after="0"/>
      </w:pPr>
      <w:r>
        <w:rPr>
          <w:rFonts w:ascii="Arial" w:cs="Arial" w:eastAsia="Arial" w:hAnsi="Arial"/>
          <w:color w:val="333333"/>
          <w:sz w:val="22"/>
          <w:szCs w:val="22"/>
        </w:rPr>
        <w:t xml:space="preserve"/>
      </w:r>
    </w:p>
    <w:p>
      <w:pPr>
        <w:pBdr>
          <w:left w:val="single" w:color="2E6DA4" w:sz="16" w:space="8"/>
        </w:pBdr>
        <w:spacing w:before="240" w:after="40"/>
      </w:pPr>
      <w:r>
        <w:rPr>
          <w:rFonts w:ascii="Arial" w:cs="Arial" w:eastAsia="Arial" w:hAnsi="Arial"/>
          <w:b/>
          <w:bCs/>
          <w:color w:val="1B3A5C"/>
          <w:sz w:val="26"/>
          <w:szCs w:val="26"/>
        </w:rPr>
        <w:t xml:space="preserve">EMS Technologies, Inc.</w:t>
      </w:r>
      <w:r>
        <w:rPr>
          <w:rFonts w:ascii="Arial" w:cs="Arial" w:eastAsia="Arial" w:hAnsi="Arial"/>
          <w:color w:val="2E6DA4"/>
          <w:sz w:val="18"/>
          <w:szCs w:val="18"/>
        </w:rPr>
        <w:t xml:space="preserve">  Tier 2 — Specialist Regional EMS</w:t>
      </w:r>
    </w:p>
    <w:p>
      <w:pPr>
        <w:spacing w:before="0" w:after="80"/>
      </w:pPr>
      <w:r>
        <w:rPr>
          <w:rFonts w:ascii="Arial" w:cs="Arial" w:eastAsia="Arial" w:hAnsi="Arial"/>
          <w:color w:val="555555"/>
          <w:sz w:val="20"/>
          <w:szCs w:val="20"/>
        </w:rPr>
        <w:t xml:space="preserve">One of the longest-operating EMS shops in the Northeast. Founded in 1969 as a captive IBM assembly division. Now a fully independent, highly relationship-driven contract manufacturer serving second and third tier OEMs.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6E8F7" w:val="clear"/>
            <w:tcMar>
              <w:top w:type="dxa" w:w="50"/>
              <w:left w:type="dxa" w:w="80"/>
              <w:bottom w:type="dxa" w:w="50"/>
              <w:right w:type="dxa" w:w="60"/>
            </w:tcMar>
          </w:tcPr>
          <w:p>
            <w:r>
              <w:rPr>
                <w:rFonts w:ascii="Arial" w:cs="Arial" w:eastAsia="Arial" w:hAnsi="Arial"/>
                <w:b/>
                <w:bCs/>
                <w:color w:val="1B3A5C"/>
                <w:sz w:val="18"/>
                <w:szCs w:val="18"/>
              </w:rPr>
              <w:t xml:space="preserve">Location</w:t>
            </w:r>
          </w:p>
        </w:tc>
        <w:tc>
          <w:tcPr>
            <w:tcW w:type="dxa" w:w="7160"/>
            <w:tcBorders>
              <w:top w:val="none" w:color="FFFFFF" w:sz="0"/>
              <w:left w:val="none" w:color="FFFFFF" w:sz="0"/>
              <w:bottom w:val="none" w:color="FFFFFF" w:sz="0"/>
              <w:right w:val="none" w:color="FFFFFF" w:sz="0"/>
            </w:tcBorders>
            <w:shd w:fill="FFFFFF" w:val="clear"/>
            <w:tcMar>
              <w:top w:type="dxa" w:w="50"/>
              <w:left w:type="dxa" w:w="100"/>
              <w:bottom w:type="dxa" w:w="50"/>
              <w:right w:type="dxa" w:w="80"/>
            </w:tcMar>
          </w:tcPr>
          <w:p>
            <w:r>
              <w:rPr>
                <w:rFonts w:ascii="Arial" w:cs="Arial" w:eastAsia="Arial" w:hAnsi="Arial"/>
                <w:color w:val="333333"/>
                <w:sz w:val="18"/>
                <w:szCs w:val="18"/>
              </w:rPr>
              <w:t xml:space="preserve">71 Frederick Street, Binghamton, NY 13901 (Broome County — Southern Tier)</w:t>
            </w:r>
          </w:p>
        </w:tc>
      </w:tr>
      <w:tr>
        <w:tc>
          <w:tcPr>
            <w:tcW w:type="dxa" w:w="2200"/>
            <w:tcBorders>
              <w:top w:val="none" w:color="FFFFFF" w:sz="0"/>
              <w:left w:val="none" w:color="FFFFFF" w:sz="0"/>
              <w:bottom w:val="none" w:color="FFFFFF" w:sz="0"/>
              <w:right w:val="none" w:color="FFFFFF" w:sz="0"/>
            </w:tcBorders>
            <w:shd w:fill="E8F4FD" w:val="clear"/>
            <w:tcMar>
              <w:top w:type="dxa" w:w="50"/>
              <w:left w:type="dxa" w:w="80"/>
              <w:bottom w:type="dxa" w:w="50"/>
              <w:right w:type="dxa" w:w="60"/>
            </w:tcMar>
          </w:tcPr>
          <w:p>
            <w:r>
              <w:rPr>
                <w:rFonts w:ascii="Arial" w:cs="Arial" w:eastAsia="Arial" w:hAnsi="Arial"/>
                <w:b/>
                <w:bCs/>
                <w:color w:val="1B3A5C"/>
                <w:sz w:val="18"/>
                <w:szCs w:val="18"/>
              </w:rPr>
              <w:t xml:space="preserve">Founded</w:t>
            </w:r>
          </w:p>
        </w:tc>
        <w:tc>
          <w:tcPr>
            <w:tcW w:type="dxa" w:w="7160"/>
            <w:tcBorders>
              <w:top w:val="none" w:color="FFFFFF" w:sz="0"/>
              <w:left w:val="none" w:color="FFFFFF" w:sz="0"/>
              <w:bottom w:val="none" w:color="FFFFFF" w:sz="0"/>
              <w:right w:val="none" w:color="FFFFFF" w:sz="0"/>
            </w:tcBorders>
            <w:shd w:fill="F5F5F5" w:val="clear"/>
            <w:tcMar>
              <w:top w:type="dxa" w:w="50"/>
              <w:left w:type="dxa" w:w="100"/>
              <w:bottom w:type="dxa" w:w="50"/>
              <w:right w:type="dxa" w:w="80"/>
            </w:tcMar>
          </w:tcPr>
          <w:p>
            <w:r>
              <w:rPr>
                <w:rFonts w:ascii="Arial" w:cs="Arial" w:eastAsia="Arial" w:hAnsi="Arial"/>
                <w:color w:val="333333"/>
                <w:sz w:val="18"/>
                <w:szCs w:val="18"/>
              </w:rPr>
              <w:t xml:space="preserve">1969 (as IBM captive Components Assembly Division of Stow Manufacturing). Independent since 1982. 57 years in operation.</w:t>
            </w:r>
          </w:p>
        </w:tc>
      </w:tr>
      <w:tr>
        <w:tc>
          <w:tcPr>
            <w:tcW w:type="dxa" w:w="2200"/>
            <w:tcBorders>
              <w:top w:val="none" w:color="FFFFFF" w:sz="0"/>
              <w:left w:val="none" w:color="FFFFFF" w:sz="0"/>
              <w:bottom w:val="none" w:color="FFFFFF" w:sz="0"/>
              <w:right w:val="none" w:color="FFFFFF" w:sz="0"/>
            </w:tcBorders>
            <w:shd w:fill="D6E8F7" w:val="clear"/>
            <w:tcMar>
              <w:top w:type="dxa" w:w="50"/>
              <w:left w:type="dxa" w:w="80"/>
              <w:bottom w:type="dxa" w:w="50"/>
              <w:right w:type="dxa" w:w="60"/>
            </w:tcMar>
          </w:tcPr>
          <w:p>
            <w:r>
              <w:rPr>
                <w:rFonts w:ascii="Arial" w:cs="Arial" w:eastAsia="Arial" w:hAnsi="Arial"/>
                <w:b/>
                <w:bCs/>
                <w:color w:val="1B3A5C"/>
                <w:sz w:val="18"/>
                <w:szCs w:val="18"/>
              </w:rPr>
              <w:t xml:space="preserve">Size</w:t>
            </w:r>
          </w:p>
        </w:tc>
        <w:tc>
          <w:tcPr>
            <w:tcW w:type="dxa" w:w="7160"/>
            <w:tcBorders>
              <w:top w:val="none" w:color="FFFFFF" w:sz="0"/>
              <w:left w:val="none" w:color="FFFFFF" w:sz="0"/>
              <w:bottom w:val="none" w:color="FFFFFF" w:sz="0"/>
              <w:right w:val="none" w:color="FFFFFF" w:sz="0"/>
            </w:tcBorders>
            <w:shd w:fill="FFFFFF" w:val="clear"/>
            <w:tcMar>
              <w:top w:type="dxa" w:w="50"/>
              <w:left w:type="dxa" w:w="100"/>
              <w:bottom w:type="dxa" w:w="50"/>
              <w:right w:type="dxa" w:w="80"/>
            </w:tcMar>
          </w:tcPr>
          <w:p>
            <w:r>
              <w:rPr>
                <w:rFonts w:ascii="Arial" w:cs="Arial" w:eastAsia="Arial" w:hAnsi="Arial"/>
                <w:color w:val="333333"/>
                <w:sz w:val="18"/>
                <w:szCs w:val="18"/>
              </w:rPr>
              <w:t xml:space="preserve">~7 employees. ~$6.4M revenue (2025). Epicor ERP system.</w:t>
            </w:r>
          </w:p>
        </w:tc>
      </w:tr>
      <w:tr>
        <w:tc>
          <w:tcPr>
            <w:tcW w:type="dxa" w:w="2200"/>
            <w:tcBorders>
              <w:top w:val="none" w:color="FFFFFF" w:sz="0"/>
              <w:left w:val="none" w:color="FFFFFF" w:sz="0"/>
              <w:bottom w:val="none" w:color="FFFFFF" w:sz="0"/>
              <w:right w:val="none" w:color="FFFFFF" w:sz="0"/>
            </w:tcBorders>
            <w:shd w:fill="E8F4FD" w:val="clear"/>
            <w:tcMar>
              <w:top w:type="dxa" w:w="50"/>
              <w:left w:type="dxa" w:w="80"/>
              <w:bottom w:type="dxa" w:w="50"/>
              <w:right w:type="dxa" w:w="60"/>
            </w:tcMar>
          </w:tcPr>
          <w:p>
            <w:r>
              <w:rPr>
                <w:rFonts w:ascii="Arial" w:cs="Arial" w:eastAsia="Arial" w:hAnsi="Arial"/>
                <w:b/>
                <w:bCs/>
                <w:color w:val="1B3A5C"/>
                <w:sz w:val="18"/>
                <w:szCs w:val="18"/>
              </w:rPr>
              <w:t xml:space="preserve">Certifications</w:t>
            </w:r>
          </w:p>
        </w:tc>
        <w:tc>
          <w:tcPr>
            <w:tcW w:type="dxa" w:w="7160"/>
            <w:tcBorders>
              <w:top w:val="none" w:color="FFFFFF" w:sz="0"/>
              <w:left w:val="none" w:color="FFFFFF" w:sz="0"/>
              <w:bottom w:val="none" w:color="FFFFFF" w:sz="0"/>
              <w:right w:val="none" w:color="FFFFFF" w:sz="0"/>
            </w:tcBorders>
            <w:shd w:fill="F5F5F5" w:val="clear"/>
            <w:tcMar>
              <w:top w:type="dxa" w:w="50"/>
              <w:left w:type="dxa" w:w="100"/>
              <w:bottom w:type="dxa" w:w="50"/>
              <w:right w:type="dxa" w:w="80"/>
            </w:tcMar>
          </w:tcPr>
          <w:p>
            <w:r>
              <w:rPr>
                <w:rFonts w:ascii="Arial" w:cs="Arial" w:eastAsia="Arial" w:hAnsi="Arial"/>
                <w:color w:val="333333"/>
                <w:sz w:val="18"/>
                <w:szCs w:val="18"/>
              </w:rPr>
              <w:t xml:space="preserve">Not publicly listed. IPC-aware (references IPC Class 3 work informally). Customer list includes defense-adjacent primes (L-3 Communications, Texas Instruments; serves GE Medical, Hitachi Medical, GE Aerospace OEM customers).</w:t>
            </w:r>
          </w:p>
        </w:tc>
      </w:tr>
      <w:tr>
        <w:tc>
          <w:tcPr>
            <w:tcW w:type="dxa" w:w="2200"/>
            <w:tcBorders>
              <w:top w:val="none" w:color="FFFFFF" w:sz="0"/>
              <w:left w:val="none" w:color="FFFFFF" w:sz="0"/>
              <w:bottom w:val="none" w:color="FFFFFF" w:sz="0"/>
              <w:right w:val="none" w:color="FFFFFF" w:sz="0"/>
            </w:tcBorders>
            <w:shd w:fill="D6E8F7" w:val="clear"/>
            <w:tcMar>
              <w:top w:type="dxa" w:w="50"/>
              <w:left w:type="dxa" w:w="80"/>
              <w:bottom w:type="dxa" w:w="50"/>
              <w:right w:type="dxa" w:w="60"/>
            </w:tcMar>
          </w:tcPr>
          <w:p>
            <w:r>
              <w:rPr>
                <w:rFonts w:ascii="Arial" w:cs="Arial" w:eastAsia="Arial" w:hAnsi="Arial"/>
                <w:b/>
                <w:bCs/>
                <w:color w:val="1B3A5C"/>
                <w:sz w:val="18"/>
                <w:szCs w:val="18"/>
              </w:rPr>
              <w:t xml:space="preserve">Capabilities</w:t>
            </w:r>
          </w:p>
        </w:tc>
        <w:tc>
          <w:tcPr>
            <w:tcW w:type="dxa" w:w="7160"/>
            <w:tcBorders>
              <w:top w:val="none" w:color="FFFFFF" w:sz="0"/>
              <w:left w:val="none" w:color="FFFFFF" w:sz="0"/>
              <w:bottom w:val="none" w:color="FFFFFF" w:sz="0"/>
              <w:right w:val="none" w:color="FFFFFF" w:sz="0"/>
            </w:tcBorders>
            <w:shd w:fill="FFFFFF" w:val="clear"/>
            <w:tcMar>
              <w:top w:type="dxa" w:w="50"/>
              <w:left w:type="dxa" w:w="100"/>
              <w:bottom w:type="dxa" w:w="50"/>
              <w:right w:type="dxa" w:w="80"/>
            </w:tcMar>
          </w:tcPr>
          <w:p>
            <w:r>
              <w:rPr>
                <w:rFonts w:ascii="Arial" w:cs="Arial" w:eastAsia="Arial" w:hAnsi="Arial"/>
                <w:color w:val="333333"/>
                <w:sz w:val="18"/>
                <w:szCs w:val="18"/>
              </w:rPr>
              <w:t xml:space="preserve">PCBA (Mydata SMT equipment, vision-assisted placement to 12 mil pitch, BGAs over 1,000 pins, passives to 0402), through-hole auto insertion, automated carousel for manual drop-in through-hole, high-power/shock/vibration manual assembly. Documentation review and ECR submission. Customer-integrated quality process.</w:t>
            </w:r>
          </w:p>
        </w:tc>
      </w:tr>
      <w:tr>
        <w:tc>
          <w:tcPr>
            <w:tcW w:type="dxa" w:w="2200"/>
            <w:tcBorders>
              <w:top w:val="none" w:color="FFFFFF" w:sz="0"/>
              <w:left w:val="none" w:color="FFFFFF" w:sz="0"/>
              <w:bottom w:val="none" w:color="FFFFFF" w:sz="0"/>
              <w:right w:val="none" w:color="FFFFFF" w:sz="0"/>
            </w:tcBorders>
            <w:shd w:fill="E8F4FD" w:val="clear"/>
            <w:tcMar>
              <w:top w:type="dxa" w:w="50"/>
              <w:left w:type="dxa" w:w="80"/>
              <w:bottom w:type="dxa" w:w="50"/>
              <w:right w:type="dxa" w:w="60"/>
            </w:tcMar>
          </w:tcPr>
          <w:p>
            <w:r>
              <w:rPr>
                <w:rFonts w:ascii="Arial" w:cs="Arial" w:eastAsia="Arial" w:hAnsi="Arial"/>
                <w:b/>
                <w:bCs/>
                <w:color w:val="1B3A5C"/>
                <w:sz w:val="18"/>
                <w:szCs w:val="18"/>
              </w:rPr>
              <w:t xml:space="preserve">Key Markets</w:t>
            </w:r>
          </w:p>
        </w:tc>
        <w:tc>
          <w:tcPr>
            <w:tcW w:type="dxa" w:w="7160"/>
            <w:tcBorders>
              <w:top w:val="none" w:color="FFFFFF" w:sz="0"/>
              <w:left w:val="none" w:color="FFFFFF" w:sz="0"/>
              <w:bottom w:val="none" w:color="FFFFFF" w:sz="0"/>
              <w:right w:val="none" w:color="FFFFFF" w:sz="0"/>
            </w:tcBorders>
            <w:shd w:fill="F5F5F5" w:val="clear"/>
            <w:tcMar>
              <w:top w:type="dxa" w:w="50"/>
              <w:left w:type="dxa" w:w="100"/>
              <w:bottom w:type="dxa" w:w="50"/>
              <w:right w:type="dxa" w:w="80"/>
            </w:tcMar>
          </w:tcPr>
          <w:p>
            <w:r>
              <w:rPr>
                <w:rFonts w:ascii="Arial" w:cs="Arial" w:eastAsia="Arial" w:hAnsi="Arial"/>
                <w:color w:val="333333"/>
                <w:sz w:val="18"/>
                <w:szCs w:val="18"/>
              </w:rPr>
              <w:t xml:space="preserve">Medical (GE Medical, Hitachi Medical), military-adjacent (L-3 Communications), industrial, fire rescue, robotics, machine vision (BitFlow Frame Grabber — 10-year customer). Second and third tier OEMs spending $5K–$1M/year.</w:t>
            </w:r>
          </w:p>
        </w:tc>
      </w:tr>
      <w:tr>
        <w:tc>
          <w:tcPr>
            <w:tcW w:type="dxa" w:w="2200"/>
            <w:tcBorders>
              <w:top w:val="none" w:color="FFFFFF" w:sz="0"/>
              <w:left w:val="none" w:color="FFFFFF" w:sz="0"/>
              <w:bottom w:val="none" w:color="FFFFFF" w:sz="0"/>
              <w:right w:val="none" w:color="FFFFFF" w:sz="0"/>
            </w:tcBorders>
            <w:shd w:fill="D6E8F7" w:val="clear"/>
            <w:tcMar>
              <w:top w:type="dxa" w:w="50"/>
              <w:left w:type="dxa" w:w="80"/>
              <w:bottom w:type="dxa" w:w="50"/>
              <w:right w:type="dxa" w:w="60"/>
            </w:tcMar>
          </w:tcPr>
          <w:p>
            <w:r>
              <w:rPr>
                <w:rFonts w:ascii="Arial" w:cs="Arial" w:eastAsia="Arial" w:hAnsi="Arial"/>
                <w:b/>
                <w:bCs/>
                <w:color w:val="1B3A5C"/>
                <w:sz w:val="18"/>
                <w:szCs w:val="18"/>
              </w:rPr>
              <w:t xml:space="preserve">Ownership</w:t>
            </w:r>
          </w:p>
        </w:tc>
        <w:tc>
          <w:tcPr>
            <w:tcW w:type="dxa" w:w="7160"/>
            <w:tcBorders>
              <w:top w:val="none" w:color="FFFFFF" w:sz="0"/>
              <w:left w:val="none" w:color="FFFFFF" w:sz="0"/>
              <w:bottom w:val="none" w:color="FFFFFF" w:sz="0"/>
              <w:right w:val="none" w:color="FFFFFF" w:sz="0"/>
            </w:tcBorders>
            <w:shd w:fill="FFFFFF" w:val="clear"/>
            <w:tcMar>
              <w:top w:type="dxa" w:w="50"/>
              <w:left w:type="dxa" w:w="100"/>
              <w:bottom w:type="dxa" w:w="50"/>
              <w:right w:type="dxa" w:w="80"/>
            </w:tcMar>
          </w:tcPr>
          <w:p>
            <w:r>
              <w:rPr>
                <w:rFonts w:ascii="Arial" w:cs="Arial" w:eastAsia="Arial" w:hAnsi="Arial"/>
                <w:color w:val="333333"/>
                <w:sz w:val="18"/>
                <w:szCs w:val="18"/>
              </w:rPr>
              <w:t xml:space="preserve">Private. President/owner not publicly named. Director of Operations: Vishal P. (per RocketReach).</w:t>
            </w:r>
          </w:p>
        </w:tc>
      </w:tr>
      <w:tr>
        <w:tc>
          <w:tcPr>
            <w:tcW w:type="dxa" w:w="2200"/>
            <w:tcBorders>
              <w:top w:val="none" w:color="FFFFFF" w:sz="0"/>
              <w:left w:val="none" w:color="FFFFFF" w:sz="0"/>
              <w:bottom w:val="none" w:color="FFFFFF" w:sz="0"/>
              <w:right w:val="none" w:color="FFFFFF" w:sz="0"/>
            </w:tcBorders>
            <w:shd w:fill="E8F4FD" w:val="clear"/>
            <w:tcMar>
              <w:top w:type="dxa" w:w="50"/>
              <w:left w:type="dxa" w:w="80"/>
              <w:bottom w:type="dxa" w:w="50"/>
              <w:right w:type="dxa" w:w="60"/>
            </w:tcMar>
          </w:tcPr>
          <w:p>
            <w:r>
              <w:rPr>
                <w:rFonts w:ascii="Arial" w:cs="Arial" w:eastAsia="Arial" w:hAnsi="Arial"/>
                <w:b/>
                <w:bCs/>
                <w:color w:val="1B3A5C"/>
                <w:sz w:val="18"/>
                <w:szCs w:val="18"/>
              </w:rPr>
              <w:t xml:space="preserve">Clark Relevance</w:t>
            </w:r>
          </w:p>
        </w:tc>
        <w:tc>
          <w:tcPr>
            <w:tcW w:type="dxa" w:w="7160"/>
            <w:tcBorders>
              <w:top w:val="none" w:color="FFFFFF" w:sz="0"/>
              <w:left w:val="none" w:color="FFFFFF" w:sz="0"/>
              <w:bottom w:val="none" w:color="FFFFFF" w:sz="0"/>
              <w:right w:val="none" w:color="FFFFFF" w:sz="0"/>
            </w:tcBorders>
            <w:shd w:fill="F5F5F5" w:val="clear"/>
            <w:tcMar>
              <w:top w:type="dxa" w:w="50"/>
              <w:left w:type="dxa" w:w="100"/>
              <w:bottom w:type="dxa" w:w="50"/>
              <w:right w:type="dxa" w:w="80"/>
            </w:tcMar>
          </w:tcPr>
          <w:p>
            <w:r>
              <w:rPr>
                <w:rFonts w:ascii="Arial" w:cs="Arial" w:eastAsia="Arial" w:hAnsi="Arial"/>
                <w:color w:val="333333"/>
                <w:sz w:val="18"/>
                <w:szCs w:val="18"/>
              </w:rPr>
              <w:t xml:space="preserve">HIGH IPC training prospect. EMS Technologies' 57-year operating history and loyal customer base suggest an experienced workforce that likely operates on institutional knowledge rather than formal IPC certification. Average employee tenure exceeds 15 years — a training opportunity, not a startup shop. Small size means the owner/operator conversation is direct. Binghamton proximity to both the Southern Tier and the broader corridor makes this a valuable relationship to develop even if it does not become a node candidate immediately.</w:t>
            </w:r>
          </w:p>
        </w:tc>
      </w:tr>
    </w:tbl>
    <w:p>
      <w:pPr>
        <w:spacing w:before="40" w:after="0"/>
      </w:pPr>
      <w:r>
        <w:rPr>
          <w:rFonts w:ascii="Arial" w:cs="Arial" w:eastAsia="Arial" w:hAnsi="Arial"/>
          <w:color w:val="333333"/>
          <w:sz w:val="22"/>
          <w:szCs w:val="22"/>
        </w:rP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4. Tier 3 — Large Platform / Strategic Context</w:t>
      </w:r>
    </w:p>
    <w:p>
      <w:pPr>
        <w:spacing w:before="60" w:after="80"/>
      </w:pPr>
      <w:r>
        <w:rPr>
          <w:rFonts w:ascii="Arial" w:cs="Arial" w:eastAsia="Arial" w:hAnsi="Arial"/>
          <w:color w:val="333333"/>
          <w:sz w:val="22"/>
          <w:szCs w:val="22"/>
        </w:rPr>
        <w:t xml:space="preserve">Tier 3 entries are large-scale or highly specialized operations that define the technical ceiling of the corridor but are not Clark partnership candidates. They are included for market intelligence and narrative context.</w:t>
      </w:r>
    </w:p>
    <w:p>
      <w:pPr>
        <w:spacing w:before="60" w:after="0"/>
      </w:pPr>
      <w:r>
        <w:rPr>
          <w:rFonts w:ascii="Arial" w:cs="Arial" w:eastAsia="Arial" w:hAnsi="Arial"/>
          <w:color w:val="333333"/>
          <w:sz w:val="22"/>
          <w:szCs w:val="22"/>
        </w:rPr>
        <w:t xml:space="preserve"/>
      </w:r>
    </w:p>
    <w:p>
      <w:pPr>
        <w:pBdr>
          <w:left w:val="single" w:color="2E6DA4" w:sz="16" w:space="8"/>
        </w:pBdr>
        <w:spacing w:before="240" w:after="40"/>
      </w:pPr>
      <w:r>
        <w:rPr>
          <w:rFonts w:ascii="Arial" w:cs="Arial" w:eastAsia="Arial" w:hAnsi="Arial"/>
          <w:b/>
          <w:bCs/>
          <w:color w:val="1B3A5C"/>
          <w:sz w:val="26"/>
          <w:szCs w:val="26"/>
        </w:rPr>
        <w:t xml:space="preserve">Endicott Interconnect Technologies (EI)</w:t>
      </w:r>
      <w:r>
        <w:rPr>
          <w:rFonts w:ascii="Arial" w:cs="Arial" w:eastAsia="Arial" w:hAnsi="Arial"/>
          <w:color w:val="2E6DA4"/>
          <w:sz w:val="18"/>
          <w:szCs w:val="18"/>
        </w:rPr>
        <w:t xml:space="preserve">  Tier 3 — Large Platform / Strategic Context</w:t>
      </w:r>
    </w:p>
    <w:p>
      <w:pPr>
        <w:spacing w:before="0" w:after="80"/>
      </w:pPr>
      <w:r>
        <w:rPr>
          <w:rFonts w:ascii="Arial" w:cs="Arial" w:eastAsia="Arial" w:hAnsi="Arial"/>
          <w:color w:val="555555"/>
          <w:sz w:val="20"/>
          <w:szCs w:val="20"/>
        </w:rPr>
        <w:t xml:space="preserve">World-class PCB fabrication, semiconductor packaging, and systems integration firm descended from IBM Endicott's advanced manufacturing legacy. DoD R&amp;D partner. Houses the Center for Advanced Microelectronics Manufacturing (CAMM) in partnership with Binghamton University and Cornell.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6E8F7" w:val="clear"/>
            <w:tcMar>
              <w:top w:type="dxa" w:w="50"/>
              <w:left w:type="dxa" w:w="80"/>
              <w:bottom w:type="dxa" w:w="50"/>
              <w:right w:type="dxa" w:w="60"/>
            </w:tcMar>
          </w:tcPr>
          <w:p>
            <w:r>
              <w:rPr>
                <w:rFonts w:ascii="Arial" w:cs="Arial" w:eastAsia="Arial" w:hAnsi="Arial"/>
                <w:b/>
                <w:bCs/>
                <w:color w:val="1B3A5C"/>
                <w:sz w:val="18"/>
                <w:szCs w:val="18"/>
              </w:rPr>
              <w:t xml:space="preserve">Location</w:t>
            </w:r>
          </w:p>
        </w:tc>
        <w:tc>
          <w:tcPr>
            <w:tcW w:type="dxa" w:w="7160"/>
            <w:tcBorders>
              <w:top w:val="none" w:color="FFFFFF" w:sz="0"/>
              <w:left w:val="none" w:color="FFFFFF" w:sz="0"/>
              <w:bottom w:val="none" w:color="FFFFFF" w:sz="0"/>
              <w:right w:val="none" w:color="FFFFFF" w:sz="0"/>
            </w:tcBorders>
            <w:shd w:fill="FFFFFF" w:val="clear"/>
            <w:tcMar>
              <w:top w:type="dxa" w:w="50"/>
              <w:left w:type="dxa" w:w="100"/>
              <w:bottom w:type="dxa" w:w="50"/>
              <w:right w:type="dxa" w:w="80"/>
            </w:tcMar>
          </w:tcPr>
          <w:p>
            <w:r>
              <w:rPr>
                <w:rFonts w:ascii="Arial" w:cs="Arial" w:eastAsia="Arial" w:hAnsi="Arial"/>
                <w:color w:val="333333"/>
                <w:sz w:val="18"/>
                <w:szCs w:val="18"/>
              </w:rPr>
              <w:t xml:space="preserve">1093 Clark Street, Endicott, NY 13760 (Broome County — Binghamton metro)</w:t>
            </w:r>
          </w:p>
        </w:tc>
      </w:tr>
      <w:tr>
        <w:tc>
          <w:tcPr>
            <w:tcW w:type="dxa" w:w="2200"/>
            <w:tcBorders>
              <w:top w:val="none" w:color="FFFFFF" w:sz="0"/>
              <w:left w:val="none" w:color="FFFFFF" w:sz="0"/>
              <w:bottom w:val="none" w:color="FFFFFF" w:sz="0"/>
              <w:right w:val="none" w:color="FFFFFF" w:sz="0"/>
            </w:tcBorders>
            <w:shd w:fill="E8F4FD" w:val="clear"/>
            <w:tcMar>
              <w:top w:type="dxa" w:w="50"/>
              <w:left w:type="dxa" w:w="80"/>
              <w:bottom w:type="dxa" w:w="50"/>
              <w:right w:type="dxa" w:w="60"/>
            </w:tcMar>
          </w:tcPr>
          <w:p>
            <w:r>
              <w:rPr>
                <w:rFonts w:ascii="Arial" w:cs="Arial" w:eastAsia="Arial" w:hAnsi="Arial"/>
                <w:b/>
                <w:bCs/>
                <w:color w:val="1B3A5C"/>
                <w:sz w:val="18"/>
                <w:szCs w:val="18"/>
              </w:rPr>
              <w:t xml:space="preserve">Founded</w:t>
            </w:r>
          </w:p>
        </w:tc>
        <w:tc>
          <w:tcPr>
            <w:tcW w:type="dxa" w:w="7160"/>
            <w:tcBorders>
              <w:top w:val="none" w:color="FFFFFF" w:sz="0"/>
              <w:left w:val="none" w:color="FFFFFF" w:sz="0"/>
              <w:bottom w:val="none" w:color="FFFFFF" w:sz="0"/>
              <w:right w:val="none" w:color="FFFFFF" w:sz="0"/>
            </w:tcBorders>
            <w:shd w:fill="F5F5F5" w:val="clear"/>
            <w:tcMar>
              <w:top w:type="dxa" w:w="50"/>
              <w:left w:type="dxa" w:w="100"/>
              <w:bottom w:type="dxa" w:w="50"/>
              <w:right w:type="dxa" w:w="80"/>
            </w:tcMar>
          </w:tcPr>
          <w:p>
            <w:r>
              <w:rPr>
                <w:rFonts w:ascii="Arial" w:cs="Arial" w:eastAsia="Arial" w:hAnsi="Arial"/>
                <w:color w:val="333333"/>
                <w:sz w:val="18"/>
                <w:szCs w:val="18"/>
              </w:rPr>
              <w:t xml:space="preserve">40+ years (traces to IBM Endicott operations)</w:t>
            </w:r>
          </w:p>
        </w:tc>
      </w:tr>
      <w:tr>
        <w:tc>
          <w:tcPr>
            <w:tcW w:type="dxa" w:w="2200"/>
            <w:tcBorders>
              <w:top w:val="none" w:color="FFFFFF" w:sz="0"/>
              <w:left w:val="none" w:color="FFFFFF" w:sz="0"/>
              <w:bottom w:val="none" w:color="FFFFFF" w:sz="0"/>
              <w:right w:val="none" w:color="FFFFFF" w:sz="0"/>
            </w:tcBorders>
            <w:shd w:fill="D6E8F7" w:val="clear"/>
            <w:tcMar>
              <w:top w:type="dxa" w:w="50"/>
              <w:left w:type="dxa" w:w="80"/>
              <w:bottom w:type="dxa" w:w="50"/>
              <w:right w:type="dxa" w:w="60"/>
            </w:tcMar>
          </w:tcPr>
          <w:p>
            <w:r>
              <w:rPr>
                <w:rFonts w:ascii="Arial" w:cs="Arial" w:eastAsia="Arial" w:hAnsi="Arial"/>
                <w:b/>
                <w:bCs/>
                <w:color w:val="1B3A5C"/>
                <w:sz w:val="18"/>
                <w:szCs w:val="18"/>
              </w:rPr>
              <w:t xml:space="preserve">Size</w:t>
            </w:r>
          </w:p>
        </w:tc>
        <w:tc>
          <w:tcPr>
            <w:tcW w:type="dxa" w:w="7160"/>
            <w:tcBorders>
              <w:top w:val="none" w:color="FFFFFF" w:sz="0"/>
              <w:left w:val="none" w:color="FFFFFF" w:sz="0"/>
              <w:bottom w:val="none" w:color="FFFFFF" w:sz="0"/>
              <w:right w:val="none" w:color="FFFFFF" w:sz="0"/>
            </w:tcBorders>
            <w:shd w:fill="FFFFFF" w:val="clear"/>
            <w:tcMar>
              <w:top w:type="dxa" w:w="50"/>
              <w:left w:type="dxa" w:w="100"/>
              <w:bottom w:type="dxa" w:w="50"/>
              <w:right w:type="dxa" w:w="80"/>
            </w:tcMar>
          </w:tcPr>
          <w:p>
            <w:r>
              <w:rPr>
                <w:rFonts w:ascii="Arial" w:cs="Arial" w:eastAsia="Arial" w:hAnsi="Arial"/>
                <w:color w:val="333333"/>
                <w:sz w:val="18"/>
                <w:szCs w:val="18"/>
              </w:rPr>
              <w:t xml:space="preserve">Not publicly disclosed. World-class facility scale. Multiple divisions.</w:t>
            </w:r>
          </w:p>
        </w:tc>
      </w:tr>
      <w:tr>
        <w:tc>
          <w:tcPr>
            <w:tcW w:type="dxa" w:w="2200"/>
            <w:tcBorders>
              <w:top w:val="none" w:color="FFFFFF" w:sz="0"/>
              <w:left w:val="none" w:color="FFFFFF" w:sz="0"/>
              <w:bottom w:val="none" w:color="FFFFFF" w:sz="0"/>
              <w:right w:val="none" w:color="FFFFFF" w:sz="0"/>
            </w:tcBorders>
            <w:shd w:fill="E8F4FD" w:val="clear"/>
            <w:tcMar>
              <w:top w:type="dxa" w:w="50"/>
              <w:left w:type="dxa" w:w="80"/>
              <w:bottom w:type="dxa" w:w="50"/>
              <w:right w:type="dxa" w:w="60"/>
            </w:tcMar>
          </w:tcPr>
          <w:p>
            <w:r>
              <w:rPr>
                <w:rFonts w:ascii="Arial" w:cs="Arial" w:eastAsia="Arial" w:hAnsi="Arial"/>
                <w:b/>
                <w:bCs/>
                <w:color w:val="1B3A5C"/>
                <w:sz w:val="18"/>
                <w:szCs w:val="18"/>
              </w:rPr>
              <w:t xml:space="preserve">Certifications</w:t>
            </w:r>
          </w:p>
        </w:tc>
        <w:tc>
          <w:tcPr>
            <w:tcW w:type="dxa" w:w="7160"/>
            <w:tcBorders>
              <w:top w:val="none" w:color="FFFFFF" w:sz="0"/>
              <w:left w:val="none" w:color="FFFFFF" w:sz="0"/>
              <w:bottom w:val="none" w:color="FFFFFF" w:sz="0"/>
              <w:right w:val="none" w:color="FFFFFF" w:sz="0"/>
            </w:tcBorders>
            <w:shd w:fill="F5F5F5" w:val="clear"/>
            <w:tcMar>
              <w:top w:type="dxa" w:w="50"/>
              <w:left w:type="dxa" w:w="100"/>
              <w:bottom w:type="dxa" w:w="50"/>
              <w:right w:type="dxa" w:w="80"/>
            </w:tcMar>
          </w:tcPr>
          <w:p>
            <w:r>
              <w:rPr>
                <w:rFonts w:ascii="Arial" w:cs="Arial" w:eastAsia="Arial" w:hAnsi="Arial"/>
                <w:color w:val="333333"/>
                <w:sz w:val="18"/>
                <w:szCs w:val="18"/>
              </w:rPr>
              <w:t xml:space="preserve">DoD qualified for PCB, module, and processing blade production. Nadcap-level quality programs. CAMM corporate members include GE, Kodak, Corning, Texas Instruments, Samsung Electronics, NASA, Army Research Laboratory.</w:t>
            </w:r>
          </w:p>
        </w:tc>
      </w:tr>
      <w:tr>
        <w:tc>
          <w:tcPr>
            <w:tcW w:type="dxa" w:w="2200"/>
            <w:tcBorders>
              <w:top w:val="none" w:color="FFFFFF" w:sz="0"/>
              <w:left w:val="none" w:color="FFFFFF" w:sz="0"/>
              <w:bottom w:val="none" w:color="FFFFFF" w:sz="0"/>
              <w:right w:val="none" w:color="FFFFFF" w:sz="0"/>
            </w:tcBorders>
            <w:shd w:fill="D6E8F7" w:val="clear"/>
            <w:tcMar>
              <w:top w:type="dxa" w:w="50"/>
              <w:left w:type="dxa" w:w="80"/>
              <w:bottom w:type="dxa" w:w="50"/>
              <w:right w:type="dxa" w:w="60"/>
            </w:tcMar>
          </w:tcPr>
          <w:p>
            <w:r>
              <w:rPr>
                <w:rFonts w:ascii="Arial" w:cs="Arial" w:eastAsia="Arial" w:hAnsi="Arial"/>
                <w:b/>
                <w:bCs/>
                <w:color w:val="1B3A5C"/>
                <w:sz w:val="18"/>
                <w:szCs w:val="18"/>
              </w:rPr>
              <w:t xml:space="preserve">Capabilities</w:t>
            </w:r>
          </w:p>
        </w:tc>
        <w:tc>
          <w:tcPr>
            <w:tcW w:type="dxa" w:w="7160"/>
            <w:tcBorders>
              <w:top w:val="none" w:color="FFFFFF" w:sz="0"/>
              <w:left w:val="none" w:color="FFFFFF" w:sz="0"/>
              <w:bottom w:val="none" w:color="FFFFFF" w:sz="0"/>
              <w:right w:val="none" w:color="FFFFFF" w:sz="0"/>
            </w:tcBorders>
            <w:shd w:fill="FFFFFF" w:val="clear"/>
            <w:tcMar>
              <w:top w:type="dxa" w:w="50"/>
              <w:left w:type="dxa" w:w="100"/>
              <w:bottom w:type="dxa" w:w="50"/>
              <w:right w:type="dxa" w:w="80"/>
            </w:tcMar>
          </w:tcPr>
          <w:p>
            <w:r>
              <w:rPr>
                <w:rFonts w:ascii="Arial" w:cs="Arial" w:eastAsia="Arial" w:hAnsi="Arial"/>
                <w:color w:val="333333"/>
                <w:sz w:val="18"/>
                <w:szCs w:val="18"/>
              </w:rPr>
              <w:t xml:space="preserve">Complex PCB fabrication (multilayer, HDI, high-frequency), advanced flip chip and wire bond semiconductor packaging, systems integration and test, advanced laboratory services, contract R&amp;D. Roll-to-roll (R2R) flexible electronics research at CAMM. Acquired eV Products (CZT radiation detectors) from II-VI Inc.</w:t>
            </w:r>
          </w:p>
        </w:tc>
      </w:tr>
      <w:tr>
        <w:tc>
          <w:tcPr>
            <w:tcW w:type="dxa" w:w="2200"/>
            <w:tcBorders>
              <w:top w:val="none" w:color="FFFFFF" w:sz="0"/>
              <w:left w:val="none" w:color="FFFFFF" w:sz="0"/>
              <w:bottom w:val="none" w:color="FFFFFF" w:sz="0"/>
              <w:right w:val="none" w:color="FFFFFF" w:sz="0"/>
            </w:tcBorders>
            <w:shd w:fill="E8F4FD" w:val="clear"/>
            <w:tcMar>
              <w:top w:type="dxa" w:w="50"/>
              <w:left w:type="dxa" w:w="80"/>
              <w:bottom w:type="dxa" w:w="50"/>
              <w:right w:type="dxa" w:w="60"/>
            </w:tcMar>
          </w:tcPr>
          <w:p>
            <w:r>
              <w:rPr>
                <w:rFonts w:ascii="Arial" w:cs="Arial" w:eastAsia="Arial" w:hAnsi="Arial"/>
                <w:b/>
                <w:bCs/>
                <w:color w:val="1B3A5C"/>
                <w:sz w:val="18"/>
                <w:szCs w:val="18"/>
              </w:rPr>
              <w:t xml:space="preserve">Key Markets</w:t>
            </w:r>
          </w:p>
        </w:tc>
        <w:tc>
          <w:tcPr>
            <w:tcW w:type="dxa" w:w="7160"/>
            <w:tcBorders>
              <w:top w:val="none" w:color="FFFFFF" w:sz="0"/>
              <w:left w:val="none" w:color="FFFFFF" w:sz="0"/>
              <w:bottom w:val="none" w:color="FFFFFF" w:sz="0"/>
              <w:right w:val="none" w:color="FFFFFF" w:sz="0"/>
            </w:tcBorders>
            <w:shd w:fill="F5F5F5" w:val="clear"/>
            <w:tcMar>
              <w:top w:type="dxa" w:w="50"/>
              <w:left w:type="dxa" w:w="100"/>
              <w:bottom w:type="dxa" w:w="50"/>
              <w:right w:type="dxa" w:w="80"/>
            </w:tcMar>
          </w:tcPr>
          <w:p>
            <w:r>
              <w:rPr>
                <w:rFonts w:ascii="Arial" w:cs="Arial" w:eastAsia="Arial" w:hAnsi="Arial"/>
                <w:color w:val="333333"/>
                <w:sz w:val="18"/>
                <w:szCs w:val="18"/>
              </w:rPr>
              <w:t xml:space="preserve">Defense and aerospace (primary — $49M DoD production + R&amp;D contract for next-gen computing electronics packaging), medical imaging, high-performance computing, semiconductor test equipment, telecommunications. National security and DoD supply chain.</w:t>
            </w:r>
          </w:p>
        </w:tc>
      </w:tr>
      <w:tr>
        <w:tc>
          <w:tcPr>
            <w:tcW w:type="dxa" w:w="2200"/>
            <w:tcBorders>
              <w:top w:val="none" w:color="FFFFFF" w:sz="0"/>
              <w:left w:val="none" w:color="FFFFFF" w:sz="0"/>
              <w:bottom w:val="none" w:color="FFFFFF" w:sz="0"/>
              <w:right w:val="none" w:color="FFFFFF" w:sz="0"/>
            </w:tcBorders>
            <w:shd w:fill="D6E8F7" w:val="clear"/>
            <w:tcMar>
              <w:top w:type="dxa" w:w="50"/>
              <w:left w:type="dxa" w:w="80"/>
              <w:bottom w:type="dxa" w:w="50"/>
              <w:right w:type="dxa" w:w="60"/>
            </w:tcMar>
          </w:tcPr>
          <w:p>
            <w:r>
              <w:rPr>
                <w:rFonts w:ascii="Arial" w:cs="Arial" w:eastAsia="Arial" w:hAnsi="Arial"/>
                <w:b/>
                <w:bCs/>
                <w:color w:val="1B3A5C"/>
                <w:sz w:val="18"/>
                <w:szCs w:val="18"/>
              </w:rPr>
              <w:t xml:space="preserve">Ownership</w:t>
            </w:r>
          </w:p>
        </w:tc>
        <w:tc>
          <w:tcPr>
            <w:tcW w:type="dxa" w:w="7160"/>
            <w:tcBorders>
              <w:top w:val="none" w:color="FFFFFF" w:sz="0"/>
              <w:left w:val="none" w:color="FFFFFF" w:sz="0"/>
              <w:bottom w:val="none" w:color="FFFFFF" w:sz="0"/>
              <w:right w:val="none" w:color="FFFFFF" w:sz="0"/>
            </w:tcBorders>
            <w:shd w:fill="FFFFFF" w:val="clear"/>
            <w:tcMar>
              <w:top w:type="dxa" w:w="50"/>
              <w:left w:type="dxa" w:w="100"/>
              <w:bottom w:type="dxa" w:w="50"/>
              <w:right w:type="dxa" w:w="80"/>
            </w:tcMar>
          </w:tcPr>
          <w:p>
            <w:r>
              <w:rPr>
                <w:rFonts w:ascii="Arial" w:cs="Arial" w:eastAsia="Arial" w:hAnsi="Arial"/>
                <w:color w:val="333333"/>
                <w:sz w:val="18"/>
                <w:szCs w:val="18"/>
              </w:rPr>
              <w:t xml:space="preserve">Private. Jay McNamara was President and CEO. Current leadership not confirmed — requires verification.</w:t>
            </w:r>
          </w:p>
        </w:tc>
      </w:tr>
      <w:tr>
        <w:tc>
          <w:tcPr>
            <w:tcW w:type="dxa" w:w="2200"/>
            <w:tcBorders>
              <w:top w:val="none" w:color="FFFFFF" w:sz="0"/>
              <w:left w:val="none" w:color="FFFFFF" w:sz="0"/>
              <w:bottom w:val="none" w:color="FFFFFF" w:sz="0"/>
              <w:right w:val="none" w:color="FFFFFF" w:sz="0"/>
            </w:tcBorders>
            <w:shd w:fill="E8F4FD" w:val="clear"/>
            <w:tcMar>
              <w:top w:type="dxa" w:w="50"/>
              <w:left w:type="dxa" w:w="80"/>
              <w:bottom w:type="dxa" w:w="50"/>
              <w:right w:type="dxa" w:w="60"/>
            </w:tcMar>
          </w:tcPr>
          <w:p>
            <w:r>
              <w:rPr>
                <w:rFonts w:ascii="Arial" w:cs="Arial" w:eastAsia="Arial" w:hAnsi="Arial"/>
                <w:b/>
                <w:bCs/>
                <w:color w:val="1B3A5C"/>
                <w:sz w:val="18"/>
                <w:szCs w:val="18"/>
              </w:rPr>
              <w:t xml:space="preserve">Clark Relevance</w:t>
            </w:r>
          </w:p>
        </w:tc>
        <w:tc>
          <w:tcPr>
            <w:tcW w:type="dxa" w:w="7160"/>
            <w:tcBorders>
              <w:top w:val="none" w:color="FFFFFF" w:sz="0"/>
              <w:left w:val="none" w:color="FFFFFF" w:sz="0"/>
              <w:bottom w:val="none" w:color="FFFFFF" w:sz="0"/>
              <w:right w:val="none" w:color="FFFFFF" w:sz="0"/>
            </w:tcBorders>
            <w:shd w:fill="F5F5F5" w:val="clear"/>
            <w:tcMar>
              <w:top w:type="dxa" w:w="50"/>
              <w:left w:type="dxa" w:w="100"/>
              <w:bottom w:type="dxa" w:w="50"/>
              <w:right w:type="dxa" w:w="80"/>
            </w:tcMar>
          </w:tcPr>
          <w:p>
            <w:r>
              <w:rPr>
                <w:rFonts w:ascii="Arial" w:cs="Arial" w:eastAsia="Arial" w:hAnsi="Arial"/>
                <w:color w:val="333333"/>
                <w:sz w:val="18"/>
                <w:szCs w:val="18"/>
              </w:rPr>
              <w:t xml:space="preserve">STRATEGIC CONTEXT only. EI is an anchor of the Binghamton Southern Tier advanced electronics ecosystem, not a Clark partnership candidate. Its significance to Clark: (1) EI and BAE Systems Endicott (also present in the market) represent the advanced end of the Binghamton electronics cluster — validating Southern Tier demand; (2) CAMM's Binghamton University / Cornell partnership is a talent pipeline Clark can reference when recruiting node operators; (3) EI's DoD qualification standards set the ceiling Clark's defense-adjacent customers benchmark against.</w:t>
            </w:r>
          </w:p>
        </w:tc>
      </w:tr>
    </w:tbl>
    <w:p>
      <w:pPr>
        <w:spacing w:before="40" w:after="0"/>
      </w:pPr>
      <w:r>
        <w:rPr>
          <w:rFonts w:ascii="Arial" w:cs="Arial" w:eastAsia="Arial" w:hAnsi="Arial"/>
          <w:color w:val="333333"/>
          <w:sz w:val="22"/>
          <w:szCs w:val="22"/>
        </w:rP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5. Dunkirk / Chautauqua County — Logistics Hub Candidate</w:t>
      </w:r>
    </w:p>
    <w:p>
      <w:pPr>
        <w:spacing w:before="60" w:after="80"/>
      </w:pPr>
      <w:r>
        <w:rPr>
          <w:rFonts w:ascii="Arial" w:cs="Arial" w:eastAsia="Arial" w:hAnsi="Arial"/>
          <w:color w:val="333333"/>
          <w:sz w:val="22"/>
          <w:szCs w:val="22"/>
        </w:rPr>
        <w:t xml:space="preserve">Dunkirk is included in Clark's business plan as a candidate storage and shipping hub on the U.S. side of the corridor. This section documents what is known about the Dunkirk ecosystem and defines the correct engagement approach.</w:t>
      </w:r>
    </w:p>
    <w:p>
      <w:pPr>
        <w:spacing w:before="60" w:after="0"/>
      </w:pPr>
      <w:r>
        <w:rPr>
          <w:rFonts w:ascii="Arial" w:cs="Arial" w:eastAsia="Arial" w:hAnsi="Arial"/>
          <w:color w:val="333333"/>
          <w:sz w:val="22"/>
          <w:szCs w:val="22"/>
        </w:rPr>
        <w:t xml:space="preserve"/>
      </w:r>
    </w:p>
    <w:p>
      <w:pPr>
        <w:pBdr>
          <w:left w:val="single" w:color="2E6DA4" w:sz="16" w:space="8"/>
        </w:pBdr>
        <w:spacing w:before="240" w:after="40"/>
      </w:pPr>
      <w:r>
        <w:rPr>
          <w:rFonts w:ascii="Arial" w:cs="Arial" w:eastAsia="Arial" w:hAnsi="Arial"/>
          <w:b/>
          <w:bCs/>
          <w:color w:val="1B3A5C"/>
          <w:sz w:val="26"/>
          <w:szCs w:val="26"/>
        </w:rPr>
        <w:t xml:space="preserve">Dunkirk / Chautauqua County — Logistics Context</w:t>
      </w:r>
      <w:r>
        <w:rPr>
          <w:rFonts w:ascii="Arial" w:cs="Arial" w:eastAsia="Arial" w:hAnsi="Arial"/>
          <w:color w:val="2E6DA4"/>
          <w:sz w:val="18"/>
          <w:szCs w:val="18"/>
        </w:rPr>
        <w:t xml:space="preserve">  Logistics Hub Candidate — Dunkirk / Chautauqua County</w:t>
      </w:r>
    </w:p>
    <w:p>
      <w:pPr>
        <w:spacing w:before="0" w:after="80"/>
      </w:pPr>
      <w:r>
        <w:rPr>
          <w:rFonts w:ascii="Arial" w:cs="Arial" w:eastAsia="Arial" w:hAnsi="Arial"/>
          <w:color w:val="555555"/>
          <w:sz w:val="20"/>
          <w:szCs w:val="20"/>
        </w:rPr>
        <w:t xml:space="preserve">No dedicated electronics EMS operators are present in Dunkirk, Fredonia, or Jamestown. The Dunkirk candidate is a logistics and corridor anchoring play, not an electronics manufacturing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6E8F7" w:val="clear"/>
            <w:tcMar>
              <w:top w:type="dxa" w:w="50"/>
              <w:left w:type="dxa" w:w="80"/>
              <w:bottom w:type="dxa" w:w="50"/>
              <w:right w:type="dxa" w:w="60"/>
            </w:tcMar>
          </w:tcPr>
          <w:p>
            <w:r>
              <w:rPr>
                <w:rFonts w:ascii="Arial" w:cs="Arial" w:eastAsia="Arial" w:hAnsi="Arial"/>
                <w:b/>
                <w:bCs/>
                <w:color w:val="1B3A5C"/>
                <w:sz w:val="18"/>
                <w:szCs w:val="18"/>
              </w:rPr>
              <w:t xml:space="preserve">Location</w:t>
            </w:r>
          </w:p>
        </w:tc>
        <w:tc>
          <w:tcPr>
            <w:tcW w:type="dxa" w:w="7160"/>
            <w:tcBorders>
              <w:top w:val="none" w:color="FFFFFF" w:sz="0"/>
              <w:left w:val="none" w:color="FFFFFF" w:sz="0"/>
              <w:bottom w:val="none" w:color="FFFFFF" w:sz="0"/>
              <w:right w:val="none" w:color="FFFFFF" w:sz="0"/>
            </w:tcBorders>
            <w:shd w:fill="FFFFFF" w:val="clear"/>
            <w:tcMar>
              <w:top w:type="dxa" w:w="50"/>
              <w:left w:type="dxa" w:w="100"/>
              <w:bottom w:type="dxa" w:w="50"/>
              <w:right w:type="dxa" w:w="80"/>
            </w:tcMar>
          </w:tcPr>
          <w:p>
            <w:r>
              <w:rPr>
                <w:rFonts w:ascii="Arial" w:cs="Arial" w:eastAsia="Arial" w:hAnsi="Arial"/>
                <w:color w:val="333333"/>
                <w:sz w:val="18"/>
                <w:szCs w:val="18"/>
              </w:rPr>
              <w:t xml:space="preserve">Dunkirk, NY 14048 — Chautauqua County. Lake Erie shoreline. 40 miles southwest of Buffalo on I-90.</w:t>
            </w:r>
          </w:p>
        </w:tc>
      </w:tr>
      <w:tr>
        <w:tc>
          <w:tcPr>
            <w:tcW w:type="dxa" w:w="2200"/>
            <w:tcBorders>
              <w:top w:val="none" w:color="FFFFFF" w:sz="0"/>
              <w:left w:val="none" w:color="FFFFFF" w:sz="0"/>
              <w:bottom w:val="none" w:color="FFFFFF" w:sz="0"/>
              <w:right w:val="none" w:color="FFFFFF" w:sz="0"/>
            </w:tcBorders>
            <w:shd w:fill="E8F4FD" w:val="clear"/>
            <w:tcMar>
              <w:top w:type="dxa" w:w="50"/>
              <w:left w:type="dxa" w:w="80"/>
              <w:bottom w:type="dxa" w:w="50"/>
              <w:right w:type="dxa" w:w="60"/>
            </w:tcMar>
          </w:tcPr>
          <w:p>
            <w:r>
              <w:rPr>
                <w:rFonts w:ascii="Arial" w:cs="Arial" w:eastAsia="Arial" w:hAnsi="Arial"/>
                <w:b/>
                <w:bCs/>
                <w:color w:val="1B3A5C"/>
                <w:sz w:val="18"/>
                <w:szCs w:val="18"/>
              </w:rPr>
              <w:t xml:space="preserve">Founded</w:t>
            </w:r>
          </w:p>
        </w:tc>
        <w:tc>
          <w:tcPr>
            <w:tcW w:type="dxa" w:w="7160"/>
            <w:tcBorders>
              <w:top w:val="none" w:color="FFFFFF" w:sz="0"/>
              <w:left w:val="none" w:color="FFFFFF" w:sz="0"/>
              <w:bottom w:val="none" w:color="FFFFFF" w:sz="0"/>
              <w:right w:val="none" w:color="FFFFFF" w:sz="0"/>
            </w:tcBorders>
            <w:shd w:fill="F5F5F5" w:val="clear"/>
            <w:tcMar>
              <w:top w:type="dxa" w:w="50"/>
              <w:left w:type="dxa" w:w="100"/>
              <w:bottom w:type="dxa" w:w="50"/>
              <w:right w:type="dxa" w:w="80"/>
            </w:tcMar>
          </w:tcPr>
          <w:p>
            <w:r>
              <w:rPr>
                <w:rFonts w:ascii="Arial" w:cs="Arial" w:eastAsia="Arial" w:hAnsi="Arial"/>
                <w:color w:val="333333"/>
                <w:sz w:val="18"/>
                <w:szCs w:val="18"/>
              </w:rPr>
              <w:t xml:space="preserve">N/A</w:t>
            </w:r>
          </w:p>
        </w:tc>
      </w:tr>
      <w:tr>
        <w:tc>
          <w:tcPr>
            <w:tcW w:type="dxa" w:w="2200"/>
            <w:tcBorders>
              <w:top w:val="none" w:color="FFFFFF" w:sz="0"/>
              <w:left w:val="none" w:color="FFFFFF" w:sz="0"/>
              <w:bottom w:val="none" w:color="FFFFFF" w:sz="0"/>
              <w:right w:val="none" w:color="FFFFFF" w:sz="0"/>
            </w:tcBorders>
            <w:shd w:fill="D6E8F7" w:val="clear"/>
            <w:tcMar>
              <w:top w:type="dxa" w:w="50"/>
              <w:left w:type="dxa" w:w="80"/>
              <w:bottom w:type="dxa" w:w="50"/>
              <w:right w:type="dxa" w:w="60"/>
            </w:tcMar>
          </w:tcPr>
          <w:p>
            <w:r>
              <w:rPr>
                <w:rFonts w:ascii="Arial" w:cs="Arial" w:eastAsia="Arial" w:hAnsi="Arial"/>
                <w:b/>
                <w:bCs/>
                <w:color w:val="1B3A5C"/>
                <w:sz w:val="18"/>
                <w:szCs w:val="18"/>
              </w:rPr>
              <w:t xml:space="preserve">Size</w:t>
            </w:r>
          </w:p>
        </w:tc>
        <w:tc>
          <w:tcPr>
            <w:tcW w:type="dxa" w:w="7160"/>
            <w:tcBorders>
              <w:top w:val="none" w:color="FFFFFF" w:sz="0"/>
              <w:left w:val="none" w:color="FFFFFF" w:sz="0"/>
              <w:bottom w:val="none" w:color="FFFFFF" w:sz="0"/>
              <w:right w:val="none" w:color="FFFFFF" w:sz="0"/>
            </w:tcBorders>
            <w:shd w:fill="FFFFFF" w:val="clear"/>
            <w:tcMar>
              <w:top w:type="dxa" w:w="50"/>
              <w:left w:type="dxa" w:w="100"/>
              <w:bottom w:type="dxa" w:w="50"/>
              <w:right w:type="dxa" w:w="80"/>
            </w:tcMar>
          </w:tcPr>
          <w:p>
            <w:r>
              <w:rPr>
                <w:rFonts w:ascii="Arial" w:cs="Arial" w:eastAsia="Arial" w:hAnsi="Arial"/>
                <w:color w:val="333333"/>
                <w:sz w:val="18"/>
                <w:szCs w:val="18"/>
              </w:rPr>
              <w:t xml:space="preserve">Key existing industrial employers: Cummins Jamestown Engine Plant, SKF, Nestle-Purina. Not electronics-focused.</w:t>
            </w:r>
          </w:p>
        </w:tc>
      </w:tr>
      <w:tr>
        <w:tc>
          <w:tcPr>
            <w:tcW w:type="dxa" w:w="2200"/>
            <w:tcBorders>
              <w:top w:val="none" w:color="FFFFFF" w:sz="0"/>
              <w:left w:val="none" w:color="FFFFFF" w:sz="0"/>
              <w:bottom w:val="none" w:color="FFFFFF" w:sz="0"/>
              <w:right w:val="none" w:color="FFFFFF" w:sz="0"/>
            </w:tcBorders>
            <w:shd w:fill="E8F4FD" w:val="clear"/>
            <w:tcMar>
              <w:top w:type="dxa" w:w="50"/>
              <w:left w:type="dxa" w:w="80"/>
              <w:bottom w:type="dxa" w:w="50"/>
              <w:right w:type="dxa" w:w="60"/>
            </w:tcMar>
          </w:tcPr>
          <w:p>
            <w:r>
              <w:rPr>
                <w:rFonts w:ascii="Arial" w:cs="Arial" w:eastAsia="Arial" w:hAnsi="Arial"/>
                <w:b/>
                <w:bCs/>
                <w:color w:val="1B3A5C"/>
                <w:sz w:val="18"/>
                <w:szCs w:val="18"/>
              </w:rPr>
              <w:t xml:space="preserve">Certifications</w:t>
            </w:r>
          </w:p>
        </w:tc>
        <w:tc>
          <w:tcPr>
            <w:tcW w:type="dxa" w:w="7160"/>
            <w:tcBorders>
              <w:top w:val="none" w:color="FFFFFF" w:sz="0"/>
              <w:left w:val="none" w:color="FFFFFF" w:sz="0"/>
              <w:bottom w:val="none" w:color="FFFFFF" w:sz="0"/>
              <w:right w:val="none" w:color="FFFFFF" w:sz="0"/>
            </w:tcBorders>
            <w:shd w:fill="F5F5F5" w:val="clear"/>
            <w:tcMar>
              <w:top w:type="dxa" w:w="50"/>
              <w:left w:type="dxa" w:w="100"/>
              <w:bottom w:type="dxa" w:w="50"/>
              <w:right w:type="dxa" w:w="80"/>
            </w:tcMar>
          </w:tcPr>
          <w:p>
            <w:r>
              <w:rPr>
                <w:rFonts w:ascii="Arial" w:cs="Arial" w:eastAsia="Arial" w:hAnsi="Arial"/>
                <w:color w:val="333333"/>
                <w:sz w:val="18"/>
                <w:szCs w:val="18"/>
              </w:rPr>
              <w:t xml:space="preserve">N/A</w:t>
            </w:r>
          </w:p>
        </w:tc>
      </w:tr>
      <w:tr>
        <w:tc>
          <w:tcPr>
            <w:tcW w:type="dxa" w:w="2200"/>
            <w:tcBorders>
              <w:top w:val="none" w:color="FFFFFF" w:sz="0"/>
              <w:left w:val="none" w:color="FFFFFF" w:sz="0"/>
              <w:bottom w:val="none" w:color="FFFFFF" w:sz="0"/>
              <w:right w:val="none" w:color="FFFFFF" w:sz="0"/>
            </w:tcBorders>
            <w:shd w:fill="D6E8F7" w:val="clear"/>
            <w:tcMar>
              <w:top w:type="dxa" w:w="50"/>
              <w:left w:type="dxa" w:w="80"/>
              <w:bottom w:type="dxa" w:w="50"/>
              <w:right w:type="dxa" w:w="60"/>
            </w:tcMar>
          </w:tcPr>
          <w:p>
            <w:r>
              <w:rPr>
                <w:rFonts w:ascii="Arial" w:cs="Arial" w:eastAsia="Arial" w:hAnsi="Arial"/>
                <w:b/>
                <w:bCs/>
                <w:color w:val="1B3A5C"/>
                <w:sz w:val="18"/>
                <w:szCs w:val="18"/>
              </w:rPr>
              <w:t xml:space="preserve">Capabilities</w:t>
            </w:r>
          </w:p>
        </w:tc>
        <w:tc>
          <w:tcPr>
            <w:tcW w:type="dxa" w:w="7160"/>
            <w:tcBorders>
              <w:top w:val="none" w:color="FFFFFF" w:sz="0"/>
              <w:left w:val="none" w:color="FFFFFF" w:sz="0"/>
              <w:bottom w:val="none" w:color="FFFFFF" w:sz="0"/>
              <w:right w:val="none" w:color="FFFFFF" w:sz="0"/>
            </w:tcBorders>
            <w:shd w:fill="FFFFFF" w:val="clear"/>
            <w:tcMar>
              <w:top w:type="dxa" w:w="50"/>
              <w:left w:type="dxa" w:w="100"/>
              <w:bottom w:type="dxa" w:w="50"/>
              <w:right w:type="dxa" w:w="80"/>
            </w:tcMar>
          </w:tcPr>
          <w:p>
            <w:r>
              <w:rPr>
                <w:rFonts w:ascii="Arial" w:cs="Arial" w:eastAsia="Arial" w:hAnsi="Arial"/>
                <w:color w:val="333333"/>
                <w:sz w:val="18"/>
                <w:szCs w:val="18"/>
              </w:rPr>
              <w:t xml:space="preserve">I-90 corridor access (Buffalo–Erie–Cleveland). Lake Erie port proximity. SUNY Fredonia Center for Innovation and Economic Development (CIED) — technology incubator in Dunkirk. Jamestown Community College Dunkirk campus — workforce training infrastructure. Chautauqua County IDA — economic development funding and site assistance.</w:t>
            </w:r>
          </w:p>
        </w:tc>
      </w:tr>
      <w:tr>
        <w:tc>
          <w:tcPr>
            <w:tcW w:type="dxa" w:w="2200"/>
            <w:tcBorders>
              <w:top w:val="none" w:color="FFFFFF" w:sz="0"/>
              <w:left w:val="none" w:color="FFFFFF" w:sz="0"/>
              <w:bottom w:val="none" w:color="FFFFFF" w:sz="0"/>
              <w:right w:val="none" w:color="FFFFFF" w:sz="0"/>
            </w:tcBorders>
            <w:shd w:fill="E8F4FD" w:val="clear"/>
            <w:tcMar>
              <w:top w:type="dxa" w:w="50"/>
              <w:left w:type="dxa" w:w="80"/>
              <w:bottom w:type="dxa" w:w="50"/>
              <w:right w:type="dxa" w:w="60"/>
            </w:tcMar>
          </w:tcPr>
          <w:p>
            <w:r>
              <w:rPr>
                <w:rFonts w:ascii="Arial" w:cs="Arial" w:eastAsia="Arial" w:hAnsi="Arial"/>
                <w:b/>
                <w:bCs/>
                <w:color w:val="1B3A5C"/>
                <w:sz w:val="18"/>
                <w:szCs w:val="18"/>
              </w:rPr>
              <w:t xml:space="preserve">Key Markets</w:t>
            </w:r>
          </w:p>
        </w:tc>
        <w:tc>
          <w:tcPr>
            <w:tcW w:type="dxa" w:w="7160"/>
            <w:tcBorders>
              <w:top w:val="none" w:color="FFFFFF" w:sz="0"/>
              <w:left w:val="none" w:color="FFFFFF" w:sz="0"/>
              <w:bottom w:val="none" w:color="FFFFFF" w:sz="0"/>
              <w:right w:val="none" w:color="FFFFFF" w:sz="0"/>
            </w:tcBorders>
            <w:shd w:fill="F5F5F5" w:val="clear"/>
            <w:tcMar>
              <w:top w:type="dxa" w:w="50"/>
              <w:left w:type="dxa" w:w="100"/>
              <w:bottom w:type="dxa" w:w="50"/>
              <w:right w:type="dxa" w:w="80"/>
            </w:tcMar>
          </w:tcPr>
          <w:p>
            <w:r>
              <w:rPr>
                <w:rFonts w:ascii="Arial" w:cs="Arial" w:eastAsia="Arial" w:hAnsi="Arial"/>
                <w:color w:val="333333"/>
                <w:sz w:val="18"/>
                <w:szCs w:val="18"/>
              </w:rPr>
              <w:t xml:space="preserve">Warehousing, distribution, heavy industrial support. Growing wine/agriculture/tourism. No electronics cluster identified.</w:t>
            </w:r>
          </w:p>
        </w:tc>
      </w:tr>
      <w:tr>
        <w:tc>
          <w:tcPr>
            <w:tcW w:type="dxa" w:w="2200"/>
            <w:tcBorders>
              <w:top w:val="none" w:color="FFFFFF" w:sz="0"/>
              <w:left w:val="none" w:color="FFFFFF" w:sz="0"/>
              <w:bottom w:val="none" w:color="FFFFFF" w:sz="0"/>
              <w:right w:val="none" w:color="FFFFFF" w:sz="0"/>
            </w:tcBorders>
            <w:shd w:fill="D6E8F7" w:val="clear"/>
            <w:tcMar>
              <w:top w:type="dxa" w:w="50"/>
              <w:left w:type="dxa" w:w="80"/>
              <w:bottom w:type="dxa" w:w="50"/>
              <w:right w:type="dxa" w:w="60"/>
            </w:tcMar>
          </w:tcPr>
          <w:p>
            <w:r>
              <w:rPr>
                <w:rFonts w:ascii="Arial" w:cs="Arial" w:eastAsia="Arial" w:hAnsi="Arial"/>
                <w:b/>
                <w:bCs/>
                <w:color w:val="1B3A5C"/>
                <w:sz w:val="18"/>
                <w:szCs w:val="18"/>
              </w:rPr>
              <w:t xml:space="preserve">Ownership</w:t>
            </w:r>
          </w:p>
        </w:tc>
        <w:tc>
          <w:tcPr>
            <w:tcW w:type="dxa" w:w="7160"/>
            <w:tcBorders>
              <w:top w:val="none" w:color="FFFFFF" w:sz="0"/>
              <w:left w:val="none" w:color="FFFFFF" w:sz="0"/>
              <w:bottom w:val="none" w:color="FFFFFF" w:sz="0"/>
              <w:right w:val="none" w:color="FFFFFF" w:sz="0"/>
            </w:tcBorders>
            <w:shd w:fill="FFFFFF" w:val="clear"/>
            <w:tcMar>
              <w:top w:type="dxa" w:w="50"/>
              <w:left w:type="dxa" w:w="100"/>
              <w:bottom w:type="dxa" w:w="50"/>
              <w:right w:type="dxa" w:w="80"/>
            </w:tcMar>
          </w:tcPr>
          <w:p>
            <w:r>
              <w:rPr>
                <w:rFonts w:ascii="Arial" w:cs="Arial" w:eastAsia="Arial" w:hAnsi="Arial"/>
                <w:color w:val="333333"/>
                <w:sz w:val="18"/>
                <w:szCs w:val="18"/>
              </w:rPr>
              <w:t xml:space="preserve">N/A — ecosystem context entry.</w:t>
            </w:r>
          </w:p>
        </w:tc>
      </w:tr>
      <w:tr>
        <w:tc>
          <w:tcPr>
            <w:tcW w:type="dxa" w:w="2200"/>
            <w:tcBorders>
              <w:top w:val="none" w:color="FFFFFF" w:sz="0"/>
              <w:left w:val="none" w:color="FFFFFF" w:sz="0"/>
              <w:bottom w:val="none" w:color="FFFFFF" w:sz="0"/>
              <w:right w:val="none" w:color="FFFFFF" w:sz="0"/>
            </w:tcBorders>
            <w:shd w:fill="E8F4FD" w:val="clear"/>
            <w:tcMar>
              <w:top w:type="dxa" w:w="50"/>
              <w:left w:type="dxa" w:w="80"/>
              <w:bottom w:type="dxa" w:w="50"/>
              <w:right w:type="dxa" w:w="60"/>
            </w:tcMar>
          </w:tcPr>
          <w:p>
            <w:r>
              <w:rPr>
                <w:rFonts w:ascii="Arial" w:cs="Arial" w:eastAsia="Arial" w:hAnsi="Arial"/>
                <w:b/>
                <w:bCs/>
                <w:color w:val="1B3A5C"/>
                <w:sz w:val="18"/>
                <w:szCs w:val="18"/>
              </w:rPr>
              <w:t xml:space="preserve">Clark Relevance</w:t>
            </w:r>
          </w:p>
        </w:tc>
        <w:tc>
          <w:tcPr>
            <w:tcW w:type="dxa" w:w="7160"/>
            <w:tcBorders>
              <w:top w:val="none" w:color="FFFFFF" w:sz="0"/>
              <w:left w:val="none" w:color="FFFFFF" w:sz="0"/>
              <w:bottom w:val="none" w:color="FFFFFF" w:sz="0"/>
              <w:right w:val="none" w:color="FFFFFF" w:sz="0"/>
            </w:tcBorders>
            <w:shd w:fill="F5F5F5" w:val="clear"/>
            <w:tcMar>
              <w:top w:type="dxa" w:w="50"/>
              <w:left w:type="dxa" w:w="100"/>
              <w:bottom w:type="dxa" w:w="50"/>
              <w:right w:type="dxa" w:w="80"/>
            </w:tcMar>
          </w:tcPr>
          <w:p>
            <w:r>
              <w:rPr>
                <w:rFonts w:ascii="Arial" w:cs="Arial" w:eastAsia="Arial" w:hAnsi="Arial"/>
                <w:color w:val="333333"/>
                <w:sz w:val="18"/>
                <w:szCs w:val="18"/>
              </w:rPr>
              <w:t xml:space="preserve">MEDIUM for logistics. Dunkirk's value to Clark is as a warehousing and distribution staging point on the U.S. side of the corridor, not as an electronics manufacturing location. The CIED incubator and JCC Dunkirk campus provide future workforce development partnership potential. The Chautauqua County IDA is the primary economic development contact for any facility discussions. Clark's business plan flags Dunkirk for early partnership push — the IDA should be the first call, not an EMS operator search.</w:t>
            </w:r>
          </w:p>
        </w:tc>
      </w:tr>
    </w:tbl>
    <w:p>
      <w:pPr>
        <w:spacing w:before="40" w:after="0"/>
      </w:pPr>
      <w:r>
        <w:rPr>
          <w:rFonts w:ascii="Arial" w:cs="Arial" w:eastAsia="Arial" w:hAnsi="Arial"/>
          <w:color w:val="333333"/>
          <w:sz w:val="22"/>
          <w:szCs w:val="22"/>
        </w:rP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6. Regional Ecosystem Contacts — Non-EMS</w:t>
      </w:r>
    </w:p>
    <w:p>
      <w:pPr>
        <w:spacing w:before="60" w:after="80"/>
      </w:pPr>
      <w:r>
        <w:rPr>
          <w:rFonts w:ascii="Arial" w:cs="Arial" w:eastAsia="Arial" w:hAnsi="Arial"/>
          <w:color w:val="333333"/>
          <w:sz w:val="22"/>
          <w:szCs w:val="22"/>
        </w:rPr>
        <w:t xml:space="preserve">The following organizations are relevant to Clark's U.S. corridor development but are not EMS operators. Each represents a potential partnership, funding, or workforce development relationship.</w:t>
      </w:r>
    </w:p>
    <w:p>
      <w:pPr>
        <w:spacing w:before="60" w:after="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Organization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Role</w:t>
            </w:r>
          </w:p>
        </w:tc>
        <w:tc>
          <w:tcPr>
            <w:tcW w:type="dxa" w:w="35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Clark Relevance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Empire State Development (ESD)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NY State economic development agency. Excelsior Jobs Tax Credit Program. Has funded REDCOM and IEC/Creation in the corridor.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Primary U.S. funding partner to cultivate. Buffalo field office: (716) 856-8123. Approach once Buffalo Assembly is operational or node launch criteria are defined.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333333"/>
                <w:sz w:val="17"/>
                <w:szCs w:val="17"/>
              </w:rPr>
              <w:t xml:space="preserve">Invest Buffalo Niagara</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333333"/>
                <w:sz w:val="17"/>
                <w:szCs w:val="17"/>
              </w:rPr>
              <w:t xml:space="preserve">Regional economic development organization. Has helped 150+ manufacturers expand or relocate to WNY. Tracks electronics, medical devices, sensor technology cluster.</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333333"/>
                <w:sz w:val="17"/>
                <w:szCs w:val="17"/>
              </w:rPr>
              <w:t xml:space="preserve">First call for Buffalo/Niagara corridor business development context. Contact for site selection, workforce data, and manufacturer introductions.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Buffalo Niagara Partnership (BNP)</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Regional business chamber with manufacturing focus. 2025 NY SMART I-Corridor work active. Industry Leaders Forum series.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Membership or event participation for corridor networking. Seth Piccirillo, Director of Economic Development: spiccirillo@thepartnership.org.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333333"/>
                <w:sz w:val="17"/>
                <w:szCs w:val="17"/>
              </w:rPr>
              <w:t xml:space="preserve">University at Buffalo (UB)</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333333"/>
                <w:sz w:val="17"/>
                <w:szCs w:val="17"/>
              </w:rPr>
              <w:t xml:space="preserve">SUNY flagship. School of Engineering. Semiconductor supply chain conference host (July 2025). Engineering graduates ~5,000/year.</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333333"/>
                <w:sz w:val="17"/>
                <w:szCs w:val="17"/>
              </w:rPr>
              <w:t xml:space="preserve">IPC training pipeline and co-op/internship source for Clark nodes. Potential Advisory Group participant.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Rochester Institute of Technology (RIT)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Private engineering-focused university. Strong microelectronics and manufacturing engineering programs. IEC/Creation Technologies co-op partner.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Strongest workforce pipeline in the Rochester sub-market. Prior IEC/Creation Technologies relationship is a reference point.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333333"/>
                <w:sz w:val="17"/>
                <w:szCs w:val="17"/>
              </w:rPr>
              <w:t xml:space="preserve">Ontario County IDA / OCEDC</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333333"/>
                <w:sz w:val="17"/>
                <w:szCs w:val="17"/>
              </w:rPr>
              <w:t xml:space="preserve">Ontario County Industrial Development Agency and Economic Development Corp. Supported REDCOM expansion. Ontario County covers Victor (REDCOM), Farmington (TCS), and Canandaigua.</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333333"/>
                <w:sz w:val="17"/>
                <w:szCs w:val="17"/>
              </w:rPr>
              <w:t xml:space="preserve">Site selection and incentive navigation for any Finger Lakes sub-node. Mike Manikowski, CEO: key contact identified in REDCOM expansion press release.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Chautauqua County IDA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Industrial Development Agency for Chautauqua County. Covers Dunkirk, Fredonia, Jamestown.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Primary contact for Dunkirk logistics hub conversations. First call before any Dunkirk facility discussions.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333333"/>
                <w:sz w:val="17"/>
                <w:szCs w:val="17"/>
              </w:rPr>
              <w:t xml:space="preserve">SUNY Fredonia CIED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333333"/>
                <w:sz w:val="17"/>
                <w:szCs w:val="17"/>
              </w:rPr>
              <w:t xml:space="preserve">Center for Innovation and Economic Development at SUNY Fredonia, located in Dunkirk. Technology incubator.</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333333"/>
                <w:sz w:val="17"/>
                <w:szCs w:val="17"/>
              </w:rPr>
              <w:t xml:space="preserve">Potential partner for Dunkirk ecosystem development. Connects Clark to Fredonia's innovation community.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Buffalo Manufacturing Works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EDA-funded advanced manufacturing center. Shift 2.0 program for SMB technology adoption. 78+ SMB manufacturers in ecosystem.</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Workforce and technology adoption pipeline for Buffalo-area Clark customers and node operators. Operated by Edison Welding Institute.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333333"/>
                <w:sz w:val="17"/>
                <w:szCs w:val="17"/>
              </w:rPr>
              <w:t xml:space="preserve">Finger Lakes Community College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333333"/>
                <w:sz w:val="17"/>
                <w:szCs w:val="17"/>
              </w:rPr>
              <w:t xml:space="preserve">Wayne County and Canandaigua campuses. IEC/Creation Technologies neighbor at Silver Hill Technology Park, Newark.</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333333"/>
                <w:sz w:val="17"/>
                <w:szCs w:val="17"/>
              </w:rPr>
              <w:t xml:space="preserve">Workforce training partner candidate for Rochester/Finger Lakes node.</w:t>
            </w:r>
          </w:p>
        </w:tc>
      </w:tr>
    </w:tbl>
    <w:p>
      <w:pPr>
        <w:spacing w:before="200" w:after="0"/>
      </w:pPr>
      <w:r>
        <w:rPr>
          <w:rFonts w:ascii="Arial" w:cs="Arial" w:eastAsia="Arial" w:hAnsi="Arial"/>
          <w:color w:val="333333"/>
          <w:sz w:val="22"/>
          <w:szCs w:val="22"/>
        </w:rP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7. Market Research Findings — Key Takeaways</w:t>
      </w:r>
    </w:p>
    <w:p>
      <w:pPr>
        <w:spacing w:before="40" w:after="0"/>
      </w:pPr>
      <w:r>
        <w:rPr>
          <w:rFonts w:ascii="Arial" w:cs="Arial" w:eastAsia="Arial" w:hAnsi="Arial"/>
          <w:color w:val="333333"/>
          <w:sz w:val="22"/>
          <w:szCs w:val="22"/>
        </w:rPr>
        <w:t xml:space="preserve"/>
      </w:r>
    </w:p>
    <w:p>
      <w:pPr>
        <w:pStyle w:val="Heading2"/>
        <w:spacing w:before="260" w:after="80"/>
      </w:pPr>
      <w:r>
        <w:rPr>
          <w:rFonts w:ascii="Arial" w:cs="Arial" w:eastAsia="Arial" w:hAnsi="Arial"/>
          <w:b/>
          <w:bCs/>
          <w:color w:val="2E6DA4"/>
          <w:sz w:val="26"/>
          <w:szCs w:val="26"/>
        </w:rPr>
        <w:t xml:space="preserve">7.1  The U.S. Corridor Has Higher Defense Intensity Than Southern Ontario</w:t>
      </w:r>
    </w:p>
    <w:p>
      <w:pPr>
        <w:spacing w:before="60" w:after="80"/>
      </w:pPr>
      <w:r>
        <w:rPr>
          <w:rFonts w:ascii="Arial" w:cs="Arial" w:eastAsia="Arial" w:hAnsi="Arial"/>
          <w:color w:val="333333"/>
          <w:sz w:val="22"/>
          <w:szCs w:val="22"/>
        </w:rPr>
        <w:t xml:space="preserve">REDCOM EMS and UEC/ACT both operate at AS9100D. Creation Technologies (IEC) holds Nadcap, IPC QML, and DLA QTSL. Endicott Interconnect has DoD production qualification. This concentration of defense-grade certifications in the Rochester–Binghamton stretch is above the Southern Ontario baseline and directly relevant to Clark's defense-adjacent customer value proposition. Clark's IPC training program — including the CIT instructor path — will resonate strongly with quality managers at companies aiming to maintain or upgrade their AS9100D and IPC certifications.</w:t>
      </w:r>
    </w:p>
    <w:p>
      <w:pPr>
        <w:spacing w:before="60" w:after="0"/>
      </w:pPr>
      <w:r>
        <w:rPr>
          <w:rFonts w:ascii="Arial" w:cs="Arial" w:eastAsia="Arial" w:hAnsi="Arial"/>
          <w:color w:val="333333"/>
          <w:sz w:val="22"/>
          <w:szCs w:val="22"/>
        </w:rPr>
        <w:t xml:space="preserve"/>
      </w:r>
    </w:p>
    <w:p>
      <w:pPr>
        <w:pStyle w:val="Heading2"/>
        <w:spacing w:before="260" w:after="80"/>
      </w:pPr>
      <w:r>
        <w:rPr>
          <w:rFonts w:ascii="Arial" w:cs="Arial" w:eastAsia="Arial" w:hAnsi="Arial"/>
          <w:b/>
          <w:bCs/>
          <w:color w:val="2E6DA4"/>
          <w:sz w:val="26"/>
          <w:szCs w:val="26"/>
        </w:rPr>
        <w:t xml:space="preserve">7.2  The Quick-Turn Prototype Gap Is Open in Buffalo Proper</w:t>
      </w:r>
    </w:p>
    <w:p>
      <w:pPr>
        <w:spacing w:before="60" w:after="80"/>
      </w:pPr>
      <w:r>
        <w:rPr>
          <w:rFonts w:ascii="Arial" w:cs="Arial" w:eastAsia="Arial" w:hAnsi="Arial"/>
          <w:color w:val="333333"/>
          <w:sz w:val="22"/>
          <w:szCs w:val="22"/>
        </w:rPr>
        <w:t xml:space="preserve">Mettrix is the only identified quick-turn prototype PCB assembler in the Buffalo area. Its Class 3 capability and software loading services are notable, but it lacks public ISO/AS9100 certification. There is no equivalent of Artaflex-scale, certified precision EMS operating in Buffalo proper — Artaflex itself is the pioneer. This validates Clark's Buffalo Assembly thesis and suggests customer demand for certified, locally accessible small-batch assembly is real and underserved.</w:t>
      </w:r>
    </w:p>
    <w:p>
      <w:pPr>
        <w:spacing w:before="60" w:after="0"/>
      </w:pPr>
      <w:r>
        <w:rPr>
          <w:rFonts w:ascii="Arial" w:cs="Arial" w:eastAsia="Arial" w:hAnsi="Arial"/>
          <w:color w:val="333333"/>
          <w:sz w:val="22"/>
          <w:szCs w:val="22"/>
        </w:rPr>
        <w:t xml:space="preserve"/>
      </w:r>
    </w:p>
    <w:p>
      <w:pPr>
        <w:pStyle w:val="Heading2"/>
        <w:spacing w:before="260" w:after="80"/>
      </w:pPr>
      <w:r>
        <w:rPr>
          <w:rFonts w:ascii="Arial" w:cs="Arial" w:eastAsia="Arial" w:hAnsi="Arial"/>
          <w:b/>
          <w:bCs/>
          <w:color w:val="2E6DA4"/>
          <w:sz w:val="26"/>
          <w:szCs w:val="26"/>
        </w:rPr>
        <w:t xml:space="preserve">7.3  EMS Technologies Binghamton Is a Training Conversation</w:t>
      </w:r>
    </w:p>
    <w:p>
      <w:pPr>
        <w:spacing w:before="60" w:after="80"/>
      </w:pPr>
      <w:r>
        <w:rPr>
          <w:rFonts w:ascii="Arial" w:cs="Arial" w:eastAsia="Arial" w:hAnsi="Arial"/>
          <w:color w:val="333333"/>
          <w:sz w:val="22"/>
          <w:szCs w:val="22"/>
        </w:rPr>
        <w:t xml:space="preserve">EMS Technologies' 57-year history, deep customer loyalty, and average employee tenure over 15 years suggest a highly experienced but potentially informally certified workforce. Its second/third tier OEM niche ($5K–$1M annual spend) maps directly to Clark's IPC training addressable market. The company's size (7 employees, $6.4M revenue) makes it an owner-direct conversation. The Director of Operations (Vishal P.) is the probable first contact.</w:t>
      </w:r>
    </w:p>
    <w:p>
      <w:pPr>
        <w:spacing w:before="60" w:after="0"/>
      </w:pPr>
      <w:r>
        <w:rPr>
          <w:rFonts w:ascii="Arial" w:cs="Arial" w:eastAsia="Arial" w:hAnsi="Arial"/>
          <w:color w:val="333333"/>
          <w:sz w:val="22"/>
          <w:szCs w:val="22"/>
        </w:rPr>
        <w:t xml:space="preserve"/>
      </w:r>
    </w:p>
    <w:p>
      <w:pPr>
        <w:pStyle w:val="Heading2"/>
        <w:spacing w:before="260" w:after="80"/>
      </w:pPr>
      <w:r>
        <w:rPr>
          <w:rFonts w:ascii="Arial" w:cs="Arial" w:eastAsia="Arial" w:hAnsi="Arial"/>
          <w:b/>
          <w:bCs/>
          <w:color w:val="2E6DA4"/>
          <w:sz w:val="26"/>
          <w:szCs w:val="26"/>
        </w:rPr>
        <w:t xml:space="preserve">7.4  The IBM Legacy Requires a Specific Training Pitch</w:t>
      </w:r>
    </w:p>
    <w:p>
      <w:pPr>
        <w:spacing w:before="60" w:after="80"/>
      </w:pPr>
      <w:r>
        <w:rPr>
          <w:rFonts w:ascii="Arial" w:cs="Arial" w:eastAsia="Arial" w:hAnsi="Arial"/>
          <w:color w:val="333333"/>
          <w:sz w:val="22"/>
          <w:szCs w:val="22"/>
        </w:rPr>
        <w:t xml:space="preserve">Binghamton and parts of Rochester's electronics workforce were trained in IBM's quality culture. Long-tenured employees may perceive IPC certification as credentialing what they already know. Clark's pitch in this sub-market should emphasize the customer-facing value of formal IPC certification — that it is the audit document defense-adjacent buyers require, not just a test of assembly knowledge. The CIT path (instructor-level certification) may be particularly resonant with senior operators who want their institutional knowledge formally recognized.</w:t>
      </w:r>
    </w:p>
    <w:p>
      <w:pPr>
        <w:spacing w:before="60" w:after="0"/>
      </w:pPr>
      <w:r>
        <w:rPr>
          <w:rFonts w:ascii="Arial" w:cs="Arial" w:eastAsia="Arial" w:hAnsi="Arial"/>
          <w:color w:val="333333"/>
          <w:sz w:val="22"/>
          <w:szCs w:val="22"/>
        </w:rPr>
        <w:t xml:space="preserve"/>
      </w:r>
    </w:p>
    <w:p>
      <w:pPr>
        <w:pStyle w:val="Heading2"/>
        <w:spacing w:before="260" w:after="80"/>
      </w:pPr>
      <w:r>
        <w:rPr>
          <w:rFonts w:ascii="Arial" w:cs="Arial" w:eastAsia="Arial" w:hAnsi="Arial"/>
          <w:b/>
          <w:bCs/>
          <w:color w:val="2E6DA4"/>
          <w:sz w:val="26"/>
          <w:szCs w:val="26"/>
        </w:rPr>
        <w:t xml:space="preserve">7.5  Dunkirk Has No Electronics EMS to Partner With</w:t>
      </w:r>
    </w:p>
    <w:p>
      <w:pPr>
        <w:spacing w:before="60" w:after="80"/>
      </w:pPr>
      <w:r>
        <w:rPr>
          <w:rFonts w:ascii="Arial" w:cs="Arial" w:eastAsia="Arial" w:hAnsi="Arial"/>
          <w:color w:val="333333"/>
          <w:sz w:val="22"/>
          <w:szCs w:val="22"/>
        </w:rPr>
        <w:t xml:space="preserve">Clark's business plan correctly identifies Dunkirk as a logistics play. There is no EMS operator in Dunkirk, Fredonia, or Jamestown. The Chautauqua County IDA and SUNY Fredonia CIED are the correct entry points for any Dunkirk facility discussion. Clark should validate the logistics economics (warehousing rates, I-90 access, customs brokerage availability) separately before committing to the Dunkirk partnership push.</w:t>
      </w:r>
    </w:p>
    <w:p>
      <w:pPr>
        <w:spacing w:before="200" w:after="0"/>
      </w:pPr>
      <w:r>
        <w:rPr>
          <w:rFonts w:ascii="Arial" w:cs="Arial" w:eastAsia="Arial" w:hAnsi="Arial"/>
          <w:color w:val="333333"/>
          <w:sz w:val="22"/>
          <w:szCs w:val="22"/>
        </w:rPr>
        <w:t xml:space="preserve"/>
      </w:r>
    </w:p>
    <w:p>
      <w:pPr>
        <w:spacing w:before="60" w:after="80"/>
      </w:pPr>
      <w:r>
        <w:rPr>
          <w:rFonts w:ascii="Arial" w:cs="Arial" w:eastAsia="Arial" w:hAnsi="Arial"/>
          <w:color w:val="999999"/>
          <w:sz w:val="18"/>
          <w:szCs w:val="18"/>
        </w:rPr>
        <w:t xml:space="preserve">Document prepared for Clark internal strategy use. March 2025.</w:t>
      </w:r>
    </w:p>
    <w:p>
      <w:pPr>
        <w:spacing w:before="60" w:after="80"/>
      </w:pPr>
      <w:r>
        <w:rPr>
          <w:rFonts w:ascii="Arial" w:cs="Arial" w:eastAsia="Arial" w:hAnsi="Arial"/>
          <w:color w:val="999999"/>
          <w:sz w:val="18"/>
          <w:szCs w:val="18"/>
        </w:rPr>
        <w:t xml:space="preserve">Research based on public sources: company websites, LinkedIn, Empire State Development press releases, GlobalSpec, Wikipedia, Finger Lakes regional news, Greater Rochester Enterprise, and Invest Buffalo Niagara economic data.</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2"/>
      <w:szCs w:val="32"/>
    </w:rPr>
  </w:style>
  <w:style w:type="paragraph" w:styleId="Heading2">
    <w:name w:val="Heading 2"/>
    <w:basedOn w:val="Normal"/>
    <w:next w:val="Normal"/>
    <w:qFormat/>
    <w:pPr>
      <w:spacing w:before="260" w:after="8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2026-03-26T16:26:03.286Z</dcterms:created>
  <dcterms:modified xsi:type="dcterms:W3CDTF">2026-03-26T16:26:03.287Z</dcterms:modified>
</cp:coreProperties>
</file>

<file path=docProps/custom.xml><?xml version="1.0" encoding="utf-8"?>
<Properties xmlns="http://schemas.openxmlformats.org/officeDocument/2006/custom-properties" xmlns:vt="http://schemas.openxmlformats.org/officeDocument/2006/docPropsVTypes"/>
</file>