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A2F5A"/>
          <w:sz w:val="56"/>
          <w:szCs w:val="56"/>
        </w:rPr>
        <w:t xml:space="preserve">NIAGARA ASSEMBLY CENTER</w:t>
      </w:r>
    </w:p>
    <w:p>
      <w:pPr>
        <w:pBdr>
          <w:bottom w:val="single" w:color="C49A1A" w:sz="6" w:space="8"/>
        </w:pBdr>
        <w:spacing w:before="0" w:after="40"/>
        <w:jc w:val="center"/>
      </w:pPr>
      <w:r>
        <w:rPr>
          <w:rFonts w:ascii="Arial" w:cs="Arial" w:eastAsia="Arial" w:hAnsi="Arial"/>
          <w:i/>
          <w:iCs/>
          <w:color w:val="0D7B8A"/>
          <w:sz w:val="26"/>
          <w:szCs w:val="26"/>
        </w:rPr>
        <w:t xml:space="preserve">NAC  |  Est. Hamilton, Ontario</w:t>
      </w:r>
    </w:p>
    <w:p>
      <w:pPr>
        <w:spacing w:before="320" w:after="0"/>
      </w:pPr>
      <w:r>
        <w:t xml:space="preserve"/>
      </w:r>
    </w:p>
    <w:p>
      <w:pPr>
        <w:spacing w:before="0" w:after="80"/>
        <w:jc w:val="center"/>
      </w:pPr>
      <w:r>
        <w:rPr>
          <w:rFonts w:ascii="Arial" w:cs="Arial" w:eastAsia="Arial" w:hAnsi="Arial"/>
          <w:color w:val="777777"/>
          <w:sz w:val="22"/>
          <w:szCs w:val="22"/>
        </w:rPr>
        <w:t xml:space="preserve">Investor Brief  —  Confidential</w:t>
      </w:r>
    </w:p>
    <w:p>
      <w:pPr>
        <w:spacing w:before="0" w:after="600"/>
        <w:jc w:val="center"/>
      </w:pPr>
      <w:r>
        <w:rPr>
          <w:rFonts w:ascii="Arial" w:cs="Arial" w:eastAsia="Arial" w:hAnsi="Arial"/>
          <w:b/>
          <w:bCs/>
          <w:color w:val="1A2F5A"/>
          <w:sz w:val="28"/>
          <w:szCs w:val="28"/>
        </w:rPr>
        <w:t xml:space="preserve">Building North America's Integrated Electronics Assembly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CCCCCC" w:sz="1"/>
              <w:left w:val="single" w:color="CCCCCC" w:sz="1"/>
              <w:bottom w:val="single" w:color="CCCCCC" w:sz="1"/>
              <w:right w:val="single" w:color="CCCCCC" w:sz="1"/>
            </w:tcBorders>
            <w:shd w:fill="E8F4F6" w:val="clear"/>
            <w:tcMar>
              <w:top w:type="dxa" w:w="120"/>
              <w:left w:type="dxa" w:w="160"/>
              <w:bottom w:type="dxa" w:w="120"/>
              <w:right w:type="dxa" w:w="160"/>
            </w:tcMar>
            <w:vAlign w:val="center"/>
          </w:tcPr>
          <w:p>
            <w:pPr>
              <w:jc w:val="center"/>
            </w:pPr>
            <w:r>
              <w:rPr>
                <w:rFonts w:ascii="Arial" w:cs="Arial" w:eastAsia="Arial" w:hAnsi="Arial"/>
                <w:b/>
                <w:bCs/>
                <w:color w:val="1A2F5A"/>
                <w:sz w:val="32"/>
                <w:szCs w:val="32"/>
              </w:rPr>
              <w:t xml:space="preserve">$279K</w:t>
            </w:r>
          </w:p>
          <w:p>
            <w:pPr>
              <w:jc w:val="center"/>
            </w:pPr>
            <w:r>
              <w:rPr>
                <w:rFonts w:ascii="Arial" w:cs="Arial" w:eastAsia="Arial" w:hAnsi="Arial"/>
                <w:color w:val="555555"/>
                <w:sz w:val="18"/>
                <w:szCs w:val="18"/>
              </w:rPr>
              <w:t xml:space="preserve">Startup Capital</w:t>
            </w:r>
          </w:p>
        </w:tc>
        <w:tc>
          <w:tcPr>
            <w:tcW w:type="dxa" w:w="220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vAlign w:val="center"/>
          </w:tcPr>
          <w:p>
            <w:pPr>
              <w:jc w:val="center"/>
            </w:pPr>
            <w:r>
              <w:rPr>
                <w:rFonts w:ascii="Arial" w:cs="Arial" w:eastAsia="Arial" w:hAnsi="Arial"/>
                <w:b/>
                <w:bCs/>
                <w:color w:val="1A2F5A"/>
                <w:sz w:val="32"/>
                <w:szCs w:val="32"/>
              </w:rPr>
              <w:t xml:space="preserve">$628K</w:t>
            </w:r>
          </w:p>
          <w:p>
            <w:pPr>
              <w:jc w:val="center"/>
            </w:pPr>
            <w:r>
              <w:rPr>
                <w:rFonts w:ascii="Arial" w:cs="Arial" w:eastAsia="Arial" w:hAnsi="Arial"/>
                <w:color w:val="555555"/>
                <w:sz w:val="18"/>
                <w:szCs w:val="18"/>
              </w:rPr>
              <w:t xml:space="preserve">Year-One Budget</w:t>
            </w:r>
          </w:p>
        </w:tc>
        <w:tc>
          <w:tcPr>
            <w:tcW w:type="dxa" w:w="2200"/>
            <w:tcBorders>
              <w:top w:val="single" w:color="CCCCCC" w:sz="1"/>
              <w:left w:val="single" w:color="CCCCCC" w:sz="1"/>
              <w:bottom w:val="single" w:color="CCCCCC" w:sz="1"/>
              <w:right w:val="single" w:color="CCCCCC" w:sz="1"/>
            </w:tcBorders>
            <w:shd w:fill="E8F4F6" w:val="clear"/>
            <w:tcMar>
              <w:top w:type="dxa" w:w="120"/>
              <w:left w:type="dxa" w:w="160"/>
              <w:bottom w:type="dxa" w:w="120"/>
              <w:right w:type="dxa" w:w="160"/>
            </w:tcMar>
            <w:vAlign w:val="center"/>
          </w:tcPr>
          <w:p>
            <w:pPr>
              <w:jc w:val="center"/>
            </w:pPr>
            <w:r>
              <w:rPr>
                <w:rFonts w:ascii="Arial" w:cs="Arial" w:eastAsia="Arial" w:hAnsi="Arial"/>
                <w:b/>
                <w:bCs/>
                <w:color w:val="1A2F5A"/>
                <w:sz w:val="32"/>
                <w:szCs w:val="32"/>
              </w:rPr>
              <w:t xml:space="preserve">$100K–250K</w:t>
            </w:r>
          </w:p>
          <w:p>
            <w:pPr>
              <w:jc w:val="center"/>
            </w:pPr>
            <w:r>
              <w:rPr>
                <w:rFonts w:ascii="Arial" w:cs="Arial" w:eastAsia="Arial" w:hAnsi="Arial"/>
                <w:color w:val="555555"/>
                <w:sz w:val="18"/>
                <w:szCs w:val="18"/>
              </w:rPr>
              <w:t xml:space="preserve">Grant Potential</w:t>
            </w:r>
          </w:p>
        </w:tc>
        <w:tc>
          <w:tcPr>
            <w:tcW w:type="dxa" w:w="2200"/>
            <w:tcBorders>
              <w:top w:val="single" w:color="CCCCCC" w:sz="1"/>
              <w:left w:val="single" w:color="CCCCCC" w:sz="1"/>
              <w:bottom w:val="single" w:color="CCCCCC" w:sz="1"/>
              <w:right w:val="single" w:color="CCCCCC" w:sz="1"/>
            </w:tcBorders>
            <w:shd w:fill="FDF6E3" w:val="clear"/>
            <w:tcMar>
              <w:top w:type="dxa" w:w="120"/>
              <w:left w:type="dxa" w:w="160"/>
              <w:bottom w:type="dxa" w:w="120"/>
              <w:right w:type="dxa" w:w="160"/>
            </w:tcMar>
            <w:vAlign w:val="center"/>
          </w:tcPr>
          <w:p>
            <w:pPr>
              <w:jc w:val="center"/>
            </w:pPr>
            <w:r>
              <w:rPr>
                <w:rFonts w:ascii="Arial" w:cs="Arial" w:eastAsia="Arial" w:hAnsi="Arial"/>
                <w:b/>
                <w:bCs/>
                <w:color w:val="1A2F5A"/>
                <w:sz w:val="32"/>
                <w:szCs w:val="32"/>
              </w:rPr>
              <w:t xml:space="preserve">4 FTE</w:t>
            </w:r>
          </w:p>
          <w:p>
            <w:pPr>
              <w:jc w:val="center"/>
            </w:pPr>
            <w:r>
              <w:rPr>
                <w:rFonts w:ascii="Arial" w:cs="Arial" w:eastAsia="Arial" w:hAnsi="Arial"/>
                <w:color w:val="555555"/>
                <w:sz w:val="18"/>
                <w:szCs w:val="18"/>
              </w:rPr>
              <w:t xml:space="preserve">Initial Headcount</w:t>
            </w:r>
          </w:p>
        </w:tc>
      </w:tr>
    </w:tbl>
    <w:p>
      <w:pPr>
        <w:spacing w:before="600" w:after="0"/>
      </w:pPr>
      <w:r>
        <w:t xml:space="preserve"/>
      </w:r>
    </w:p>
    <w:p>
      <w:r>
        <w:br w:type="page"/>
      </w:r>
    </w:p>
    <w:p>
      <w:pPr>
        <w:pStyle w:val="Heading1"/>
        <w:spacing w:before="400" w:after="160"/>
      </w:pPr>
      <w:r>
        <w:rPr>
          <w:rFonts w:ascii="Arial" w:cs="Arial" w:eastAsia="Arial" w:hAnsi="Arial"/>
          <w:b/>
          <w:bCs/>
          <w:color w:val="1A2F5A"/>
          <w:sz w:val="32"/>
          <w:szCs w:val="32"/>
        </w:rPr>
        <w:t xml:space="preserve">Executive Summary</w:t>
      </w:r>
    </w:p>
    <w:p>
      <w:pPr>
        <w:spacing w:before="80" w:after="120"/>
      </w:pPr>
      <w:r>
        <w:rPr>
          <w:rFonts w:ascii="Arial" w:cs="Arial" w:eastAsia="Arial" w:hAnsi="Arial"/>
          <w:color w:val="333333"/>
          <w:sz w:val="22"/>
          <w:szCs w:val="22"/>
        </w:rPr>
        <w:t xml:space="preserve">Niagara Assembly Center (NAC) is a vertically integrated electronics manufacturing and technology company headquartered in Hamilton, Ontario. We are establishing the first purpose-built facility in North America to combine small-batch PCB assembly, firmware-level optimization, workforce education, and ecosystem coordination under a single roof — and a single strategic vision.</w:t>
      </w:r>
    </w:p>
    <w:p>
      <w:pPr>
        <w:spacing w:before="120" w:after="0"/>
      </w:pPr>
      <w:r>
        <w:t xml:space="preserve"/>
      </w:r>
    </w:p>
    <w:p>
      <w:pPr>
        <w:spacing w:before="80" w:after="120"/>
      </w:pPr>
      <w:r>
        <w:rPr>
          <w:rFonts w:ascii="Arial" w:cs="Arial" w:eastAsia="Arial" w:hAnsi="Arial"/>
          <w:color w:val="333333"/>
          <w:sz w:val="22"/>
          <w:szCs w:val="22"/>
        </w:rPr>
        <w:t xml:space="preserve">Our model is inspired by the extraordinary clustering effect witnessed in the Essex County greenhouse corridor — a geography once overlooked that transformed itself into a world-class agricultural production hub through density, specialization, and inter-firm coordination. NAC intends to do for advanced electronics manufacturing in the Niagara Peninsula what Kingsville did for protected-crop agriculture: build a resilient, export-ready, innovation-dense industrial ecosystem from the ground up.</w:t>
      </w:r>
    </w:p>
    <w:p>
      <w:pPr>
        <w:spacing w:before="120" w:after="0"/>
      </w:pPr>
      <w:r>
        <w:t xml:space="preserve"/>
      </w:r>
    </w:p>
    <w:p>
      <w:pPr>
        <w:spacing w:before="80" w:after="120"/>
      </w:pPr>
      <w:r>
        <w:rPr>
          <w:rFonts w:ascii="Arial" w:cs="Arial" w:eastAsia="Arial" w:hAnsi="Arial"/>
          <w:b/>
          <w:bCs/>
          <w:color w:val="333333"/>
          <w:sz w:val="22"/>
          <w:szCs w:val="22"/>
        </w:rPr>
        <w:t xml:space="preserve">The timing is ideal. North American governments and corporations are actively reshoring electronics manufacturing. The Niagara Peninsula — spanning Hamilton, Brantford, Port Dover, and Fort Erie on the Canadian side, with direct cross-border access to Buffalo and Western New York — offers underutilized industrial capacity, strong post-secondary institutions, and significant regional incentives. NAC is positioned to be the anchor institution that activates this potential.</w:t>
      </w:r>
    </w:p>
    <w:p>
      <w:pPr>
        <w:spacing w:before="300" w:after="0"/>
      </w:pPr>
      <w:r>
        <w:t xml:space="preserve"/>
      </w:r>
    </w:p>
    <w:p>
      <w:r>
        <w:br w:type="page"/>
      </w:r>
    </w:p>
    <w:p>
      <w:pPr>
        <w:pStyle w:val="Heading1"/>
        <w:spacing w:before="400" w:after="160"/>
      </w:pPr>
      <w:r>
        <w:rPr>
          <w:rFonts w:ascii="Arial" w:cs="Arial" w:eastAsia="Arial" w:hAnsi="Arial"/>
          <w:b/>
          <w:bCs/>
          <w:color w:val="1A2F5A"/>
          <w:sz w:val="32"/>
          <w:szCs w:val="32"/>
        </w:rPr>
        <w:t xml:space="preserve">The Opportunity</w:t>
      </w:r>
    </w:p>
    <w:p>
      <w:pPr>
        <w:pStyle w:val="Heading2"/>
        <w:pBdr>
          <w:bottom w:val="single" w:color="0D7B8A" w:sz="4" w:space="4"/>
        </w:pBdr>
        <w:spacing w:before="280" w:after="120"/>
      </w:pPr>
      <w:r>
        <w:rPr>
          <w:rFonts w:ascii="Arial" w:cs="Arial" w:eastAsia="Arial" w:hAnsi="Arial"/>
          <w:b/>
          <w:bCs/>
          <w:color w:val="0D7B8A"/>
          <w:sz w:val="26"/>
          <w:szCs w:val="26"/>
        </w:rPr>
        <w:t xml:space="preserve">A Market Gap No One Has Closed</w:t>
      </w:r>
    </w:p>
    <w:p>
      <w:pPr>
        <w:spacing w:before="80" w:after="120"/>
      </w:pPr>
      <w:r>
        <w:rPr>
          <w:rFonts w:ascii="Arial" w:cs="Arial" w:eastAsia="Arial" w:hAnsi="Arial"/>
          <w:color w:val="333333"/>
          <w:sz w:val="22"/>
          <w:szCs w:val="22"/>
        </w:rPr>
        <w:t xml:space="preserve">The North American electronics production landscape is fragmented: assembly houses, firmware consultancies, and technical training providers operate as independent silos. Clients requiring end-to-end support — from prototype to tested firmware-optimized unit to certified packaged product — must manage five or more separate vendor relationships, accept inconsistent quality standards, and absorb significant coordination overhead.</w:t>
      </w:r>
    </w:p>
    <w:p>
      <w:pPr>
        <w:spacing w:before="120" w:after="0"/>
      </w:pPr>
      <w:r>
        <w:t xml:space="preserve"/>
      </w:r>
    </w:p>
    <w:p>
      <w:pPr>
        <w:spacing w:before="80" w:after="120"/>
      </w:pPr>
      <w:r>
        <w:rPr>
          <w:rFonts w:ascii="Arial" w:cs="Arial" w:eastAsia="Arial" w:hAnsi="Arial"/>
          <w:color w:val="333333"/>
          <w:sz w:val="22"/>
          <w:szCs w:val="22"/>
        </w:rPr>
        <w:t xml:space="preserve">Our research confirms no competitor currently integrates all three pillars — assembly, firmware depth, and education — into a single coordinated offering. This is NAC's core market position.</w:t>
      </w:r>
    </w:p>
    <w:p>
      <w:pPr>
        <w:spacing w:before="12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The Reindustrialization Mandate</w:t>
      </w:r>
    </w:p>
    <w:p>
      <w:pPr>
        <w:spacing w:before="80" w:after="120"/>
      </w:pPr>
      <w:r>
        <w:rPr>
          <w:rFonts w:ascii="Arial" w:cs="Arial" w:eastAsia="Arial" w:hAnsi="Arial"/>
          <w:color w:val="333333"/>
          <w:sz w:val="22"/>
          <w:szCs w:val="22"/>
        </w:rPr>
        <w:t xml:space="preserve">Supply chain disruptions, geopolitical risk, and federal reshoring incentives have created unprecedented demand for domestic electronics production capacity. Programs such as Canada's National Research Council IRAP grants, the Canada Small Business Financing Program, and Ontario's regional development initiatives, combined with New York State's START-UP NY program and NYPA's low-cost hydropower access, create a rare alignment of policy, capital, and geography favoring exactly what NAC is building.</w:t>
      </w:r>
    </w:p>
    <w:p>
      <w:pPr>
        <w:spacing w:before="12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A Binational Advantage</w:t>
      </w:r>
    </w:p>
    <w:p>
      <w:pPr>
        <w:spacing w:before="80" w:after="120"/>
      </w:pPr>
      <w:r>
        <w:rPr>
          <w:rFonts w:ascii="Arial" w:cs="Arial" w:eastAsia="Arial" w:hAnsi="Arial"/>
          <w:color w:val="333333"/>
          <w:sz w:val="22"/>
          <w:szCs w:val="22"/>
        </w:rPr>
        <w:t xml:space="preserve">The Niagara Peninsula is uniquely positioned as a binational production corridor. Fort Erie and Buffalo are separated by the Peace Bridge — one of the busiest commercial crossings in North America. NAC will establish legal and operational presences on both sides of the border from the outset, enabling clients to access continental supply chains, SUNY research partnerships, and US federal procurement opportunities while benefiting from Ontario's manufacturing incentive environment.</w:t>
      </w:r>
    </w:p>
    <w:p>
      <w:pPr>
        <w:spacing w:before="300" w:after="0"/>
      </w:pPr>
      <w:r>
        <w:t xml:space="preserve"/>
      </w:r>
    </w:p>
    <w:p>
      <w:r>
        <w:br w:type="page"/>
      </w:r>
    </w:p>
    <w:p>
      <w:pPr>
        <w:pStyle w:val="Heading1"/>
        <w:spacing w:before="400" w:after="160"/>
      </w:pPr>
      <w:r>
        <w:rPr>
          <w:rFonts w:ascii="Arial" w:cs="Arial" w:eastAsia="Arial" w:hAnsi="Arial"/>
          <w:b/>
          <w:bCs/>
          <w:color w:val="1A2F5A"/>
          <w:sz w:val="32"/>
          <w:szCs w:val="32"/>
        </w:rPr>
        <w:t xml:space="preserve">What We Do</w:t>
      </w:r>
    </w:p>
    <w:p>
      <w:pPr>
        <w:spacing w:before="80" w:after="120"/>
      </w:pPr>
      <w:r>
        <w:rPr>
          <w:rFonts w:ascii="Arial" w:cs="Arial" w:eastAsia="Arial" w:hAnsi="Arial"/>
          <w:color w:val="333333"/>
          <w:sz w:val="22"/>
          <w:szCs w:val="22"/>
        </w:rPr>
        <w:t xml:space="preserve">NAC operates across three integrated service pillars, each reinforcing the others and generating compounding value for clients and partners:</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right w:type="dxa" w:w="300"/>
            </w:tcMar>
          </w:tcPr>
          <w:p>
            <w:pPr>
              <w:spacing w:before="200" w:after="80"/>
            </w:pPr>
            <w:r>
              <w:rPr>
                <w:rFonts w:ascii="Arial" w:cs="Arial" w:eastAsia="Arial" w:hAnsi="Arial"/>
                <w:b/>
                <w:bCs/>
                <w:color w:val="1A2F5A"/>
                <w:sz w:val="22"/>
                <w:szCs w:val="22"/>
              </w:rPr>
              <w:t xml:space="preserve">1.  Precision Assembly</w:t>
            </w:r>
          </w:p>
          <w:p>
            <w:pPr>
              <w:spacing w:before="80" w:after="120"/>
            </w:pPr>
            <w:r>
              <w:rPr>
                <w:rFonts w:ascii="Arial" w:cs="Arial" w:eastAsia="Arial" w:hAnsi="Arial"/>
                <w:color w:val="333333"/>
                <w:sz w:val="22"/>
                <w:szCs w:val="22"/>
              </w:rPr>
              <w:t xml:space="preserve">End-to-end small-batch PCB and electronics assembly in a 4,000–8,000 sq. ft. Hamilton facility built to IPC-A-610 and related standards. Services span component sourcing, SMT and through-hole assembly, automated optical inspection, functional test, and commercial-grade packaging. Our facility is designed for rapid-turnaround prototype runs as well as consistent small-series production for industrial and commercial clients.</w:t>
            </w:r>
          </w:p>
        </w:tc>
        <w:tc>
          <w:tcPr>
            <w:tcW w:type="dxa" w:w="4760"/>
            <w:tcBorders>
              <w:top w:val="none" w:color="FFFFFF" w:sz="0"/>
              <w:left w:val="none" w:color="FFFFFF" w:sz="0"/>
              <w:bottom w:val="none" w:color="FFFFFF" w:sz="0"/>
              <w:right w:val="none" w:color="FFFFFF" w:sz="0"/>
            </w:tcBorders>
            <w:tcMar>
              <w:left w:type="dxa" w:w="300"/>
            </w:tcMar>
          </w:tcPr>
          <w:p>
            <w:pPr>
              <w:spacing w:before="200" w:after="80"/>
            </w:pPr>
            <w:r>
              <w:rPr>
                <w:rFonts w:ascii="Arial" w:cs="Arial" w:eastAsia="Arial" w:hAnsi="Arial"/>
                <w:b/>
                <w:bCs/>
                <w:color w:val="1A2F5A"/>
                <w:sz w:val="22"/>
                <w:szCs w:val="22"/>
              </w:rPr>
              <w:t xml:space="preserve">2.  Firmware &amp; Binary Optimization</w:t>
            </w:r>
          </w:p>
          <w:p>
            <w:pPr>
              <w:spacing w:before="80" w:after="120"/>
            </w:pPr>
            <w:r>
              <w:rPr>
                <w:rFonts w:ascii="Arial" w:cs="Arial" w:eastAsia="Arial" w:hAnsi="Arial"/>
                <w:color w:val="333333"/>
                <w:sz w:val="22"/>
                <w:szCs w:val="22"/>
              </w:rPr>
              <w:t xml:space="preserve">NAC's differentiated technical capability lies in low-level firmware engineering: assembly language, binary-level optimization, and embedded systems configuration tailored to edge and industrial computing deployments. For clients in industrial IoT, field instrumentation, and portable work equipment, this translates to dramatically lower power consumption, faster execution, longer device lifespans, and reduced hardware costs.</w:t>
            </w:r>
          </w:p>
        </w:tc>
      </w:tr>
    </w:tbl>
    <w:p>
      <w:pPr>
        <w:spacing w:before="160" w:after="0"/>
      </w:pPr>
      <w:r>
        <w:t xml:space="preserve"/>
      </w:r>
    </w:p>
    <w:p>
      <w:pPr>
        <w:spacing w:before="80" w:after="120"/>
      </w:pPr>
      <w:r>
        <w:rPr>
          <w:rFonts w:ascii="Arial" w:cs="Arial" w:eastAsia="Arial" w:hAnsi="Arial"/>
          <w:b/>
          <w:bCs/>
          <w:color w:val="1A2F5A"/>
          <w:sz w:val="22"/>
          <w:szCs w:val="22"/>
        </w:rPr>
        <w:t xml:space="preserve">3.  Workforce Education &amp; Ecosystem Development</w:t>
      </w:r>
    </w:p>
    <w:p>
      <w:pPr>
        <w:spacing w:before="80" w:after="120"/>
      </w:pPr>
      <w:r>
        <w:rPr>
          <w:rFonts w:ascii="Arial" w:cs="Arial" w:eastAsia="Arial" w:hAnsi="Arial"/>
          <w:color w:val="333333"/>
          <w:sz w:val="22"/>
          <w:szCs w:val="22"/>
        </w:rPr>
        <w:t xml:space="preserve">NAC operates technical training programs that feed both our own production floor and the broader regional ecosystem. Curriculum spans PCB assembly, embedded systems programming, quality assurance, and industrial automation — delivered in partnership with post-secondary institutions in both Ontario and New York State. This pillar ensures a self-replenishing talent pipeline and positions NAC as a civic and economic anchor in every geography it operates.</w:t>
      </w:r>
    </w:p>
    <w:p>
      <w:pPr>
        <w:spacing w:before="300" w:after="0"/>
      </w:pPr>
      <w:r>
        <w:t xml:space="preserve"/>
      </w:r>
    </w:p>
    <w:p>
      <w:r>
        <w:br w:type="page"/>
      </w:r>
    </w:p>
    <w:p>
      <w:pPr>
        <w:pStyle w:val="Heading1"/>
        <w:spacing w:before="400" w:after="160"/>
      </w:pPr>
      <w:r>
        <w:rPr>
          <w:rFonts w:ascii="Arial" w:cs="Arial" w:eastAsia="Arial" w:hAnsi="Arial"/>
          <w:b/>
          <w:bCs/>
          <w:color w:val="1A2F5A"/>
          <w:sz w:val="32"/>
          <w:szCs w:val="32"/>
        </w:rPr>
        <w:t xml:space="preserve">The Ecosystem Model</w:t>
      </w:r>
    </w:p>
    <w:p>
      <w:pPr>
        <w:pStyle w:val="Heading2"/>
        <w:pBdr>
          <w:bottom w:val="single" w:color="0D7B8A" w:sz="4" w:space="4"/>
        </w:pBdr>
        <w:spacing w:before="280" w:after="120"/>
      </w:pPr>
      <w:r>
        <w:rPr>
          <w:rFonts w:ascii="Arial" w:cs="Arial" w:eastAsia="Arial" w:hAnsi="Arial"/>
          <w:b/>
          <w:bCs/>
          <w:color w:val="0D7B8A"/>
          <w:sz w:val="26"/>
          <w:szCs w:val="26"/>
        </w:rPr>
        <w:t xml:space="preserve">Coordinated Production, Not Isolated Capacity</w:t>
      </w:r>
    </w:p>
    <w:p>
      <w:pPr>
        <w:spacing w:before="80" w:after="120"/>
      </w:pPr>
      <w:r>
        <w:rPr>
          <w:rFonts w:ascii="Arial" w:cs="Arial" w:eastAsia="Arial" w:hAnsi="Arial"/>
          <w:color w:val="333333"/>
          <w:sz w:val="22"/>
          <w:szCs w:val="22"/>
        </w:rPr>
        <w:t xml:space="preserve">NAC is not simply a contract manufacturer. It is the coordinating institution for a distributed electronics production network spanning the Greater Niagara Region — from Hamilton and Brantford in the west, through the Niagara Peninsula to Fort Erie, and across the border into Buffalo-Niagara. This network is organized in concentric rings of operational relevance:</w:t>
      </w:r>
    </w:p>
    <w:p>
      <w:pPr>
        <w:spacing w:before="120" w:after="0"/>
      </w:pPr>
      <w:r>
        <w:t xml:space="preserve"/>
      </w:r>
    </w:p>
    <w:p>
      <w:pPr>
        <w:spacing w:before="80" w:after="120"/>
      </w:pPr>
      <w:r>
        <w:rPr>
          <w:rFonts w:ascii="Arial" w:cs="Arial" w:eastAsia="Arial" w:hAnsi="Arial"/>
          <w:i/>
          <w:iCs/>
          <w:color w:val="333333"/>
          <w:sz w:val="22"/>
          <w:szCs w:val="22"/>
        </w:rPr>
        <w:t xml:space="preserve">Inner Ring — operations that participate in every production job: PCB fabrication partners, precision machine shops, CNC and sheet metal operations. These relationships are governed by formal service agreements specifying granular production metrics, quality benchmarks, and financial performance targets.</w:t>
      </w:r>
    </w:p>
    <w:p>
      <w:pPr>
        <w:spacing w:before="120" w:after="0"/>
      </w:pPr>
      <w:r>
        <w:t xml:space="preserve"/>
      </w:r>
    </w:p>
    <w:p>
      <w:pPr>
        <w:spacing w:before="80" w:after="120"/>
      </w:pPr>
      <w:r>
        <w:rPr>
          <w:rFonts w:ascii="Arial" w:cs="Arial" w:eastAsia="Arial" w:hAnsi="Arial"/>
          <w:i/>
          <w:iCs/>
          <w:color w:val="333333"/>
          <w:sz w:val="22"/>
          <w:szCs w:val="22"/>
        </w:rPr>
        <w:t xml:space="preserve">Middle Ring — operations that support specific product categories: wire harness fabrication, injection molding, 3D printing service bureaus, embedded systems test and calibration labs, and e-waste processing facilities.</w:t>
      </w:r>
    </w:p>
    <w:p>
      <w:pPr>
        <w:spacing w:before="120" w:after="0"/>
      </w:pPr>
      <w:r>
        <w:t xml:space="preserve"/>
      </w:r>
    </w:p>
    <w:p>
      <w:pPr>
        <w:spacing w:before="80" w:after="120"/>
      </w:pPr>
      <w:r>
        <w:rPr>
          <w:rFonts w:ascii="Arial" w:cs="Arial" w:eastAsia="Arial" w:hAnsi="Arial"/>
          <w:i/>
          <w:iCs/>
          <w:color w:val="333333"/>
          <w:sz w:val="22"/>
          <w:szCs w:val="22"/>
        </w:rPr>
        <w:t xml:space="preserve">Outer Ring — cash flow generators and client relationship builders: design services, technical training, facility standardization consulting, and industrial automation advisory.</w:t>
      </w:r>
    </w:p>
    <w:p>
      <w:pPr>
        <w:spacing w:before="16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The Network Advantage: Shared Metrics as a Strategic Asset</w:t>
      </w:r>
    </w:p>
    <w:p>
      <w:pPr>
        <w:spacing w:before="80" w:after="120"/>
      </w:pPr>
      <w:r>
        <w:rPr>
          <w:rFonts w:ascii="Arial" w:cs="Arial" w:eastAsia="Arial" w:hAnsi="Arial"/>
          <w:color w:val="333333"/>
          <w:sz w:val="22"/>
          <w:szCs w:val="22"/>
        </w:rPr>
        <w:t xml:space="preserve">Every partner in the NAC network gains access to shared operational and financial metrics through a common data platform. This is a significant incentive to join: small and mid-size manufacturers rarely have access to benchmarked performance data against regional peers. NAC provides this as a value-added service, deepening network loyalty while improving aggregate production quality across the ecosystem.</w:t>
      </w:r>
    </w:p>
    <w:p>
      <w:pPr>
        <w:spacing w:before="120" w:after="0"/>
      </w:pPr>
      <w:r>
        <w:t xml:space="preserve"/>
      </w:r>
    </w:p>
    <w:p>
      <w:pPr>
        <w:spacing w:before="80" w:after="120"/>
      </w:pPr>
      <w:r>
        <w:rPr>
          <w:rFonts w:ascii="Arial" w:cs="Arial" w:eastAsia="Arial" w:hAnsi="Arial"/>
          <w:color w:val="333333"/>
          <w:sz w:val="22"/>
          <w:szCs w:val="22"/>
        </w:rPr>
        <w:t xml:space="preserve">Metrics shared include: yield rates by product category, cycle times, defect classifications, supplier reliability scores, and cost-per-unit benchmarks. Partners that contribute data receive full analytical access. This creates a self-reinforcing knowledge loop that continuously raises the capability floor of the network.</w:t>
      </w:r>
    </w:p>
    <w:p>
      <w:pPr>
        <w:spacing w:before="16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M&amp;A and Acquisition Strategy</w:t>
      </w:r>
    </w:p>
    <w:p>
      <w:pPr>
        <w:spacing w:before="80" w:after="120"/>
      </w:pPr>
      <w:r>
        <w:rPr>
          <w:rFonts w:ascii="Arial" w:cs="Arial" w:eastAsia="Arial" w:hAnsi="Arial"/>
          <w:color w:val="333333"/>
          <w:sz w:val="22"/>
          <w:szCs w:val="22"/>
        </w:rPr>
        <w:t xml:space="preserve">NAC is structured from inception for targeted mergers and acquisitions. The Niagara Peninsula and Hamilton-Brantford corridor contain numerous aging owner-operated manufacturers — machine shops, PCB fabs, precision fabricators — whose owners are actively seeking succession solutions. NAC offers a credible, locally-committed acquirer with clear integration logic and a growing client network to which acquired businesses gain immediate access.</w:t>
      </w:r>
    </w:p>
    <w:p>
      <w:pPr>
        <w:spacing w:before="120" w:after="0"/>
      </w:pPr>
      <w:r>
        <w:t xml:space="preserve"/>
      </w:r>
    </w:p>
    <w:p>
      <w:pPr>
        <w:spacing w:before="80" w:after="120"/>
      </w:pPr>
      <w:r>
        <w:rPr>
          <w:rFonts w:ascii="Arial" w:cs="Arial" w:eastAsia="Arial" w:hAnsi="Arial"/>
          <w:color w:val="333333"/>
          <w:sz w:val="22"/>
          <w:szCs w:val="22"/>
        </w:rPr>
        <w:t xml:space="preserve">Acquisitions are evaluated against a rigorous concentric-ring framework: does this business reduce an external dependency for NAC's core production pipeline? Does it add a capability that clients currently source outside the network? Is it geographically positioned to strengthen the binational corridor? Each acquisition is structured case-by-case to reflect local economic and social conditions, preserving workforce relationships and community goodwill.</w:t>
      </w:r>
    </w:p>
    <w:p>
      <w:pPr>
        <w:spacing w:before="300" w:after="0"/>
      </w:pPr>
      <w:r>
        <w:t xml:space="preserve"/>
      </w:r>
    </w:p>
    <w:p>
      <w:r>
        <w:br w:type="page"/>
      </w:r>
    </w:p>
    <w:p>
      <w:pPr>
        <w:pStyle w:val="Heading1"/>
        <w:spacing w:before="400" w:after="160"/>
      </w:pPr>
      <w:r>
        <w:rPr>
          <w:rFonts w:ascii="Arial" w:cs="Arial" w:eastAsia="Arial" w:hAnsi="Arial"/>
          <w:b/>
          <w:bCs/>
          <w:color w:val="1A2F5A"/>
          <w:sz w:val="32"/>
          <w:szCs w:val="32"/>
        </w:rPr>
        <w:t xml:space="preserve">Geographic &amp; Facility Strategy</w:t>
      </w:r>
    </w:p>
    <w:p>
      <w:pPr>
        <w:pStyle w:val="Heading2"/>
        <w:pBdr>
          <w:bottom w:val="single" w:color="0D7B8A" w:sz="4" w:space="4"/>
        </w:pBdr>
        <w:spacing w:before="280" w:after="120"/>
      </w:pPr>
      <w:r>
        <w:rPr>
          <w:rFonts w:ascii="Arial" w:cs="Arial" w:eastAsia="Arial" w:hAnsi="Arial"/>
          <w:b/>
          <w:bCs/>
          <w:color w:val="0D7B8A"/>
          <w:sz w:val="26"/>
          <w:szCs w:val="26"/>
        </w:rPr>
        <w:t xml:space="preserve">Phase 1 — Hamilton Anchor</w:t>
      </w:r>
    </w:p>
    <w:p>
      <w:pPr>
        <w:spacing w:before="80" w:after="120"/>
      </w:pPr>
      <w:r>
        <w:rPr>
          <w:rFonts w:ascii="Arial" w:cs="Arial" w:eastAsia="Arial" w:hAnsi="Arial"/>
          <w:color w:val="333333"/>
          <w:sz w:val="22"/>
          <w:szCs w:val="22"/>
        </w:rPr>
        <w:t xml:space="preserve">NAC's inaugural facility in Hamilton, Ontario will serve as the operational and strategic nerve center of the network. Hamilton's industrial heritage, available commercial real estate, post-secondary institutions, and transit infrastructure make it the natural anchor for a precision electronics operation.</w:t>
      </w:r>
    </w:p>
    <w:p>
      <w:pPr>
        <w:spacing w:before="12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4,000–8,000 sq. ft. facility configured for end-to-end small-batch assembly, test, and packaging</w:t>
      </w:r>
    </w:p>
    <w:p>
      <w:pPr>
        <w:pStyle w:val="ListParagraph"/>
        <w:numPr>
          <w:ilvl w:val="0"/>
          <w:numId w:val="2"/>
        </w:numPr>
        <w:spacing w:before="40" w:after="40"/>
      </w:pPr>
      <w:r>
        <w:rPr>
          <w:rFonts w:ascii="Arial" w:cs="Arial" w:eastAsia="Arial" w:hAnsi="Arial"/>
          <w:color w:val="333333"/>
          <w:sz w:val="22"/>
          <w:szCs w:val="22"/>
        </w:rPr>
        <w:t xml:space="preserve">IPC-A-610 compliant assembly environment with ESD controls, cleanroom-adjacent workflow zones</w:t>
      </w:r>
    </w:p>
    <w:p>
      <w:pPr>
        <w:pStyle w:val="ListParagraph"/>
        <w:numPr>
          <w:ilvl w:val="0"/>
          <w:numId w:val="2"/>
        </w:numPr>
        <w:spacing w:before="40" w:after="40"/>
      </w:pPr>
      <w:r>
        <w:rPr>
          <w:rFonts w:ascii="Arial" w:cs="Arial" w:eastAsia="Arial" w:hAnsi="Arial"/>
          <w:color w:val="333333"/>
          <w:sz w:val="22"/>
          <w:szCs w:val="22"/>
        </w:rPr>
        <w:t xml:space="preserve">In-house firmware development lab for embedded systems optimization</w:t>
      </w:r>
    </w:p>
    <w:p>
      <w:pPr>
        <w:pStyle w:val="ListParagraph"/>
        <w:numPr>
          <w:ilvl w:val="0"/>
          <w:numId w:val="2"/>
        </w:numPr>
        <w:spacing w:before="40" w:after="40"/>
      </w:pPr>
      <w:r>
        <w:rPr>
          <w:rFonts w:ascii="Arial" w:cs="Arial" w:eastAsia="Arial" w:hAnsi="Arial"/>
          <w:color w:val="333333"/>
          <w:sz w:val="22"/>
          <w:szCs w:val="22"/>
        </w:rPr>
        <w:t xml:space="preserve">Training and demonstration space for workforce and partner education programs</w:t>
      </w:r>
    </w:p>
    <w:p>
      <w:pPr>
        <w:pStyle w:val="ListParagraph"/>
        <w:numPr>
          <w:ilvl w:val="0"/>
          <w:numId w:val="2"/>
        </w:numPr>
        <w:spacing w:before="40" w:after="40"/>
      </w:pPr>
      <w:r>
        <w:rPr>
          <w:rFonts w:ascii="Arial" w:cs="Arial" w:eastAsia="Arial" w:hAnsi="Arial"/>
          <w:color w:val="333333"/>
          <w:sz w:val="22"/>
          <w:szCs w:val="22"/>
        </w:rPr>
        <w:t xml:space="preserve">Administrative and network coordination hub for the broader NAC ecosystem</w:t>
      </w:r>
    </w:p>
    <w:p>
      <w:pPr>
        <w:spacing w:before="12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Phase 2 — Fort Erie Foothold</w:t>
      </w:r>
    </w:p>
    <w:p>
      <w:pPr>
        <w:spacing w:before="80" w:after="120"/>
      </w:pPr>
      <w:r>
        <w:rPr>
          <w:rFonts w:ascii="Arial" w:cs="Arial" w:eastAsia="Arial" w:hAnsi="Arial"/>
          <w:color w:val="333333"/>
          <w:sz w:val="22"/>
          <w:szCs w:val="22"/>
        </w:rPr>
        <w:t xml:space="preserve">Fort Erie represents NAC's most strategically important early expansion. Proximity to the Peace Bridge crossing provides direct operational continuity with the Buffalo-Niagara market. NAC will establish office and hosting facilities in Fort Erie to serve both Ontario and New York State actors — a physical presence that signals binational commitment and facilitates the legal and logistical structures required for cross-border production flows.</w:t>
      </w:r>
    </w:p>
    <w:p>
      <w:pPr>
        <w:spacing w:before="12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Phase 3 — Buffalo-Niagara Registration</w:t>
      </w:r>
    </w:p>
    <w:p>
      <w:pPr>
        <w:spacing w:before="80" w:after="120"/>
      </w:pPr>
      <w:r>
        <w:rPr>
          <w:rFonts w:ascii="Arial" w:cs="Arial" w:eastAsia="Arial" w:hAnsi="Arial"/>
          <w:color w:val="333333"/>
          <w:sz w:val="22"/>
          <w:szCs w:val="22"/>
        </w:rPr>
        <w:t xml:space="preserve">NAC will register as a US entity in New York State from the outset of operations, with first-phase relationships centered on SUNY Buffalo's electrical engineering and computer science programs on the North Campus. These academic partnerships enable access to research capabilities, co-op talent pipelines, and START-UP NY benefits including tax abatements and subsidized operational costs for partnering companies.</w:t>
      </w:r>
    </w:p>
    <w:p>
      <w:pPr>
        <w:spacing w:before="120" w:after="0"/>
      </w:pPr>
      <w:r>
        <w:t xml:space="preserve"/>
      </w:r>
    </w:p>
    <w:p>
      <w:pPr>
        <w:spacing w:before="80" w:after="120"/>
      </w:pPr>
      <w:r>
        <w:rPr>
          <w:rFonts w:ascii="Arial" w:cs="Arial" w:eastAsia="Arial" w:hAnsi="Arial"/>
          <w:color w:val="333333"/>
          <w:sz w:val="22"/>
          <w:szCs w:val="22"/>
        </w:rPr>
        <w:t xml:space="preserve">NYPA's low-cost hydropower rates available to eligible manufacturers in Western New York represent a meaningful operational cost advantage for energy-intensive assembly and test operations — a differentiated input cost that strengthens NAC's competitive positioning against offshore alternatives.</w:t>
      </w:r>
    </w:p>
    <w:p>
      <w:pPr>
        <w:spacing w:before="300" w:after="0"/>
      </w:pPr>
      <w:r>
        <w:t xml:space="preserve"/>
      </w:r>
    </w:p>
    <w:p>
      <w:r>
        <w:br w:type="page"/>
      </w:r>
    </w:p>
    <w:p>
      <w:pPr>
        <w:pStyle w:val="Heading1"/>
        <w:spacing w:before="400" w:after="160"/>
      </w:pPr>
      <w:r>
        <w:rPr>
          <w:rFonts w:ascii="Arial" w:cs="Arial" w:eastAsia="Arial" w:hAnsi="Arial"/>
          <w:b/>
          <w:bCs/>
          <w:color w:val="1A2F5A"/>
          <w:sz w:val="32"/>
          <w:szCs w:val="32"/>
        </w:rPr>
        <w:t xml:space="preserve">Value-Added Ecosystem Services</w:t>
      </w:r>
    </w:p>
    <w:p>
      <w:pPr>
        <w:spacing w:before="80" w:after="120"/>
      </w:pPr>
      <w:r>
        <w:rPr>
          <w:rFonts w:ascii="Arial" w:cs="Arial" w:eastAsia="Arial" w:hAnsi="Arial"/>
          <w:color w:val="333333"/>
          <w:sz w:val="22"/>
          <w:szCs w:val="22"/>
        </w:rPr>
        <w:t xml:space="preserve">Beyond direct production, NAC offers its network partners a suite of services designed to raise the operational standard of the regional manufacturing base. These services generate revenue, deepen partner relationships, and collectively elevate the quality profile of the entire ecosystem:</w:t>
      </w:r>
    </w:p>
    <w:p>
      <w:pPr>
        <w:spacing w:before="120" w:after="0"/>
      </w:pPr>
      <w:r>
        <w:t xml:space="preserve"/>
      </w:r>
    </w:p>
    <w:p>
      <w:pPr>
        <w:spacing w:before="200" w:after="80"/>
      </w:pPr>
      <w:r>
        <w:rPr>
          <w:rFonts w:ascii="Arial" w:cs="Arial" w:eastAsia="Arial" w:hAnsi="Arial"/>
          <w:b/>
          <w:bCs/>
          <w:color w:val="1A2F5A"/>
          <w:sz w:val="22"/>
          <w:szCs w:val="22"/>
        </w:rPr>
        <w:t xml:space="preserve">Facility Standardization &amp; Certification Support</w:t>
      </w:r>
    </w:p>
    <w:p>
      <w:pPr>
        <w:spacing w:before="80" w:after="120"/>
      </w:pPr>
      <w:r>
        <w:rPr>
          <w:rFonts w:ascii="Arial" w:cs="Arial" w:eastAsia="Arial" w:hAnsi="Arial"/>
          <w:color w:val="333333"/>
          <w:sz w:val="22"/>
          <w:szCs w:val="22"/>
        </w:rPr>
        <w:t xml:space="preserve">Many small and mid-size manufacturers lack the internal expertise to pursue IPC, ISO, or sector-specific certifications. NAC provides consulting, documentation, and technical preparation services to help partners achieve and maintain certifications — unlocking access to higher-value contracts and regulated industries that require certified supply chain partners.</w:t>
      </w:r>
    </w:p>
    <w:p>
      <w:pPr>
        <w:spacing w:before="120" w:after="0"/>
      </w:pPr>
      <w:r>
        <w:t xml:space="preserve"/>
      </w:r>
    </w:p>
    <w:p>
      <w:pPr>
        <w:spacing w:before="200" w:after="80"/>
      </w:pPr>
      <w:r>
        <w:rPr>
          <w:rFonts w:ascii="Arial" w:cs="Arial" w:eastAsia="Arial" w:hAnsi="Arial"/>
          <w:b/>
          <w:bCs/>
          <w:color w:val="1A2F5A"/>
          <w:sz w:val="22"/>
          <w:szCs w:val="22"/>
        </w:rPr>
        <w:t xml:space="preserve">Infrastructure &amp; Logistics Optimization</w:t>
      </w:r>
    </w:p>
    <w:p>
      <w:pPr>
        <w:spacing w:before="80" w:after="120"/>
      </w:pPr>
      <w:r>
        <w:rPr>
          <w:rFonts w:ascii="Arial" w:cs="Arial" w:eastAsia="Arial" w:hAnsi="Arial"/>
          <w:color w:val="333333"/>
          <w:sz w:val="22"/>
          <w:szCs w:val="22"/>
        </w:rPr>
        <w:t xml:space="preserve">Electronics manufacturing imposes specific physical requirements on facilities: ESD-safe flooring, controlled humidity environments, secure component storage, and optimized inbound/outbound logistics flows. NAC advises partners on facility modifications — from loading bay reconfigurations to environmental controls — that qualify their spaces for electronics work and increase throughput efficiency.</w:t>
      </w:r>
    </w:p>
    <w:p>
      <w:pPr>
        <w:spacing w:before="120" w:after="0"/>
      </w:pPr>
      <w:r>
        <w:t xml:space="preserve"/>
      </w:r>
    </w:p>
    <w:p>
      <w:pPr>
        <w:spacing w:before="200" w:after="80"/>
      </w:pPr>
      <w:r>
        <w:rPr>
          <w:rFonts w:ascii="Arial" w:cs="Arial" w:eastAsia="Arial" w:hAnsi="Arial"/>
          <w:b/>
          <w:bCs/>
          <w:color w:val="1A2F5A"/>
          <w:sz w:val="22"/>
          <w:szCs w:val="22"/>
        </w:rPr>
        <w:t xml:space="preserve">Collaboration Systems &amp; Administrative Automation</w:t>
      </w:r>
    </w:p>
    <w:p>
      <w:pPr>
        <w:spacing w:before="80" w:after="120"/>
      </w:pPr>
      <w:r>
        <w:rPr>
          <w:rFonts w:ascii="Arial" w:cs="Arial" w:eastAsia="Arial" w:hAnsi="Arial"/>
          <w:color w:val="333333"/>
          <w:sz w:val="22"/>
          <w:szCs w:val="22"/>
        </w:rPr>
        <w:t xml:space="preserve">NAC deploys and supports advanced internal collaboration platforms and administrative automation tools across its network. Partners gain access to systems that streamline order management, quality documentation, supplier coordination, and production scheduling — dramatically reducing administrative overhead and improving response times to client demands.</w:t>
      </w:r>
    </w:p>
    <w:p>
      <w:pPr>
        <w:spacing w:before="120" w:after="0"/>
      </w:pPr>
      <w:r>
        <w:t xml:space="preserve"/>
      </w:r>
    </w:p>
    <w:p>
      <w:pPr>
        <w:spacing w:before="200" w:after="80"/>
      </w:pPr>
      <w:r>
        <w:rPr>
          <w:rFonts w:ascii="Arial" w:cs="Arial" w:eastAsia="Arial" w:hAnsi="Arial"/>
          <w:b/>
          <w:bCs/>
          <w:color w:val="1A2F5A"/>
          <w:sz w:val="22"/>
          <w:szCs w:val="22"/>
        </w:rPr>
        <w:t xml:space="preserve">Industrial Automation Advisory</w:t>
      </w:r>
    </w:p>
    <w:p>
      <w:pPr>
        <w:spacing w:before="80" w:after="120"/>
      </w:pPr>
      <w:r>
        <w:rPr>
          <w:rFonts w:ascii="Arial" w:cs="Arial" w:eastAsia="Arial" w:hAnsi="Arial"/>
          <w:color w:val="333333"/>
          <w:sz w:val="22"/>
          <w:szCs w:val="22"/>
        </w:rPr>
        <w:t xml:space="preserve">As NAC scales its own automation capabilities, it extends guidance and access to automation expertise to network partners. This ranges from PLC programming and robot integration to sensor networks and data acquisition systems — enabling smaller operations to adopt automation incrementally without prohibitive capital outlays.</w:t>
      </w:r>
    </w:p>
    <w:p>
      <w:pPr>
        <w:spacing w:before="120" w:after="0"/>
      </w:pPr>
      <w:r>
        <w:t xml:space="preserve"/>
      </w:r>
    </w:p>
    <w:p>
      <w:pPr>
        <w:spacing w:before="200" w:after="80"/>
      </w:pPr>
      <w:r>
        <w:rPr>
          <w:rFonts w:ascii="Arial" w:cs="Arial" w:eastAsia="Arial" w:hAnsi="Arial"/>
          <w:b/>
          <w:bCs/>
          <w:color w:val="1A2F5A"/>
          <w:sz w:val="22"/>
          <w:szCs w:val="22"/>
        </w:rPr>
        <w:t xml:space="preserve">Placemaking &amp; Industry Tourism</w:t>
      </w:r>
    </w:p>
    <w:p>
      <w:pPr>
        <w:spacing w:before="80" w:after="120"/>
      </w:pPr>
      <w:r>
        <w:rPr>
          <w:rFonts w:ascii="Arial" w:cs="Arial" w:eastAsia="Arial" w:hAnsi="Arial"/>
          <w:color w:val="333333"/>
          <w:sz w:val="22"/>
          <w:szCs w:val="22"/>
        </w:rPr>
        <w:t xml:space="preserve">NAC actively promotes the Niagara electronics corridor as a destination for investment, talent, and business development. Organized tours to globally recognized industrial sub-regions — analogous to the greenhouse districts of Essex County or the precision manufacturing corridors of the Swiss Jura — create aspirational benchmarks and attract media and investor attention to the region. Good design, community integration, and celebration of industrial heritage are core to NAC's public identity.</w:t>
      </w:r>
    </w:p>
    <w:p>
      <w:pPr>
        <w:spacing w:before="300" w:after="0"/>
      </w:pPr>
      <w:r>
        <w:t xml:space="preserve"/>
      </w:r>
    </w:p>
    <w:p>
      <w:r>
        <w:br w:type="page"/>
      </w:r>
    </w:p>
    <w:p>
      <w:pPr>
        <w:pStyle w:val="Heading1"/>
        <w:spacing w:before="400" w:after="160"/>
      </w:pPr>
      <w:r>
        <w:rPr>
          <w:rFonts w:ascii="Arial" w:cs="Arial" w:eastAsia="Arial" w:hAnsi="Arial"/>
          <w:b/>
          <w:bCs/>
          <w:color w:val="1A2F5A"/>
          <w:sz w:val="32"/>
          <w:szCs w:val="32"/>
        </w:rPr>
        <w:t xml:space="preserve">Financial Snapshot</w:t>
      </w:r>
    </w:p>
    <w:p>
      <w:pPr>
        <w:pStyle w:val="Heading2"/>
        <w:pBdr>
          <w:bottom w:val="single" w:color="0D7B8A" w:sz="4" w:space="4"/>
        </w:pBdr>
        <w:spacing w:before="280" w:after="120"/>
      </w:pPr>
      <w:r>
        <w:rPr>
          <w:rFonts w:ascii="Arial" w:cs="Arial" w:eastAsia="Arial" w:hAnsi="Arial"/>
          <w:b/>
          <w:bCs/>
          <w:color w:val="0D7B8A"/>
          <w:sz w:val="26"/>
          <w:szCs w:val="26"/>
        </w:rPr>
        <w:t xml:space="preserve">Startup Capital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CCCCCC" w:sz="1"/>
              <w:left w:val="single" w:color="CCCCCC" w:sz="1"/>
              <w:bottom w:val="single" w:color="CCCCCC" w:sz="1"/>
              <w:right w:val="single" w:color="CCCCCC" w:sz="1"/>
            </w:tcBorders>
            <w:shd w:fill="1A2F5A" w:val="clear"/>
            <w:tcMar>
              <w:top w:type="dxa" w:w="100"/>
              <w:left w:type="dxa" w:w="160"/>
              <w:bottom w:type="dxa" w:w="100"/>
              <w:right w:type="dxa" w:w="160"/>
            </w:tcMar>
          </w:tcPr>
          <w:p>
            <w:r>
              <w:rPr>
                <w:rFonts w:ascii="Arial" w:cs="Arial" w:eastAsia="Arial" w:hAnsi="Arial"/>
                <w:b/>
                <w:bCs/>
                <w:color w:val="FFFFFF"/>
                <w:sz w:val="22"/>
                <w:szCs w:val="22"/>
              </w:rPr>
              <w:t xml:space="preserve">Category</w:t>
            </w:r>
          </w:p>
        </w:tc>
        <w:tc>
          <w:tcPr>
            <w:tcW w:type="dxa" w:w="3800"/>
            <w:tcBorders>
              <w:top w:val="single" w:color="CCCCCC" w:sz="1"/>
              <w:left w:val="single" w:color="CCCCCC" w:sz="1"/>
              <w:bottom w:val="single" w:color="CCCCCC" w:sz="1"/>
              <w:right w:val="single" w:color="CCCCCC" w:sz="1"/>
            </w:tcBorders>
            <w:shd w:fill="1A2F5A" w:val="clear"/>
            <w:tcMar>
              <w:top w:type="dxa" w:w="100"/>
              <w:left w:type="dxa" w:w="160"/>
              <w:bottom w:type="dxa" w:w="100"/>
              <w:right w:type="dxa" w:w="160"/>
            </w:tcMar>
          </w:tcPr>
          <w:p>
            <w:pPr>
              <w:jc w:val="right"/>
            </w:pPr>
            <w:r>
              <w:rPr>
                <w:rFonts w:ascii="Arial" w:cs="Arial" w:eastAsia="Arial" w:hAnsi="Arial"/>
                <w:b/>
                <w:bCs/>
                <w:color w:val="FFFFFF"/>
                <w:sz w:val="22"/>
                <w:szCs w:val="22"/>
              </w:rPr>
              <w:t xml:space="preserve">Estimated Amount</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2"/>
                <w:szCs w:val="22"/>
              </w:rPr>
              <w:t xml:space="preserve">Facility build-out &amp; leasehold improvements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2"/>
                <w:szCs w:val="22"/>
              </w:rPr>
              <w:t xml:space="preserve">$60,000–$90,000</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2"/>
                <w:szCs w:val="22"/>
              </w:rPr>
              <w:t xml:space="preserve">Assembly &amp; test equipment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right"/>
            </w:pPr>
            <w:r>
              <w:rPr>
                <w:rFonts w:ascii="Arial" w:cs="Arial" w:eastAsia="Arial" w:hAnsi="Arial"/>
                <w:b w:val="false"/>
                <w:bCs w:val="false"/>
                <w:color w:val="333333"/>
                <w:sz w:val="22"/>
                <w:szCs w:val="22"/>
              </w:rPr>
              <w:t xml:space="preserve">$80,000–$110,000</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2"/>
                <w:szCs w:val="22"/>
              </w:rPr>
              <w:t xml:space="preserve">IT infrastructure &amp; network systems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2"/>
                <w:szCs w:val="22"/>
              </w:rPr>
              <w:t xml:space="preserve">$18,000–$25,000</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2"/>
                <w:szCs w:val="22"/>
              </w:rPr>
              <w:t xml:space="preserve">Initial component inventory &amp; tooling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right"/>
            </w:pPr>
            <w:r>
              <w:rPr>
                <w:rFonts w:ascii="Arial" w:cs="Arial" w:eastAsia="Arial" w:hAnsi="Arial"/>
                <w:b w:val="false"/>
                <w:bCs w:val="false"/>
                <w:color w:val="333333"/>
                <w:sz w:val="22"/>
                <w:szCs w:val="22"/>
              </w:rPr>
              <w:t xml:space="preserve">$20,000–$30,000</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2"/>
                <w:szCs w:val="22"/>
              </w:rPr>
              <w:t xml:space="preserve">Working capital reserve (6 months)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2"/>
                <w:szCs w:val="22"/>
              </w:rPr>
              <w:t xml:space="preserve">$60,000–$80,000</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333333"/>
                <w:sz w:val="22"/>
                <w:szCs w:val="22"/>
              </w:rPr>
              <w:t xml:space="preserve">Legal, registration &amp; professional fees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jc w:val="right"/>
            </w:pPr>
            <w:r>
              <w:rPr>
                <w:rFonts w:ascii="Arial" w:cs="Arial" w:eastAsia="Arial" w:hAnsi="Arial"/>
                <w:b w:val="false"/>
                <w:bCs w:val="false"/>
                <w:color w:val="333333"/>
                <w:sz w:val="22"/>
                <w:szCs w:val="22"/>
              </w:rPr>
              <w:t xml:space="preserve">$15,000–$22,000</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33333"/>
                <w:sz w:val="22"/>
                <w:szCs w:val="22"/>
              </w:rPr>
              <w:t xml:space="preserve">Marketing &amp; business development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right"/>
            </w:pPr>
            <w:r>
              <w:rPr>
                <w:rFonts w:ascii="Arial" w:cs="Arial" w:eastAsia="Arial" w:hAnsi="Arial"/>
                <w:b w:val="false"/>
                <w:bCs w:val="false"/>
                <w:color w:val="333333"/>
                <w:sz w:val="22"/>
                <w:szCs w:val="22"/>
              </w:rPr>
              <w:t xml:space="preserve">$10,000–$15,000</w:t>
            </w:r>
          </w:p>
        </w:tc>
      </w:tr>
      <w:tr>
        <w:tc>
          <w:tcPr>
            <w:tcW w:type="dxa" w:w="556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tcPr>
          <w:p>
            <w:r>
              <w:rPr>
                <w:rFonts w:ascii="Arial" w:cs="Arial" w:eastAsia="Arial" w:hAnsi="Arial"/>
                <w:b/>
                <w:bCs/>
                <w:color w:val="333333"/>
                <w:sz w:val="22"/>
                <w:szCs w:val="22"/>
              </w:rPr>
              <w:t xml:space="preserve">Total Startup Capital Requirement</w:t>
            </w:r>
          </w:p>
        </w:tc>
        <w:tc>
          <w:tcPr>
            <w:tcW w:type="dxa" w:w="3800"/>
            <w:tcBorders>
              <w:top w:val="single" w:color="CCCCCC" w:sz="1"/>
              <w:left w:val="single" w:color="CCCCCC" w:sz="1"/>
              <w:bottom w:val="single" w:color="CCCCCC" w:sz="1"/>
              <w:right w:val="single" w:color="CCCCCC" w:sz="1"/>
            </w:tcBorders>
            <w:shd w:fill="FDF6E3" w:val="clear"/>
            <w:tcMar>
              <w:top w:type="dxa" w:w="80"/>
              <w:left w:type="dxa" w:w="160"/>
              <w:bottom w:type="dxa" w:w="80"/>
              <w:right w:type="dxa" w:w="160"/>
            </w:tcMar>
          </w:tcPr>
          <w:p>
            <w:pPr>
              <w:jc w:val="right"/>
            </w:pPr>
            <w:r>
              <w:rPr>
                <w:rFonts w:ascii="Arial" w:cs="Arial" w:eastAsia="Arial" w:hAnsi="Arial"/>
                <w:b/>
                <w:bCs/>
                <w:color w:val="1A2F5A"/>
                <w:sz w:val="22"/>
                <w:szCs w:val="22"/>
              </w:rPr>
              <w:t xml:space="preserve">$279,000 (est.)</w:t>
            </w:r>
          </w:p>
        </w:tc>
      </w:tr>
    </w:tbl>
    <w:p>
      <w:pPr>
        <w:spacing w:before="24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Year-One Operating Costs</w:t>
      </w:r>
    </w:p>
    <w:p>
      <w:pPr>
        <w:spacing w:before="80" w:after="120"/>
      </w:pPr>
      <w:r>
        <w:rPr>
          <w:rFonts w:ascii="Arial" w:cs="Arial" w:eastAsia="Arial" w:hAnsi="Arial"/>
          <w:color w:val="333333"/>
          <w:sz w:val="22"/>
          <w:szCs w:val="22"/>
        </w:rPr>
        <w:t xml:space="preserve">With four full-time employees and Hamilton premises at steady state, NAC projects approximately $29,000 per month in operating costs, totaling ~$628,000 for the first twelve months including startup capital deployment.</w:t>
      </w:r>
    </w:p>
    <w:p>
      <w:pPr>
        <w:spacing w:before="120" w:after="0"/>
      </w:pPr>
      <w:r>
        <w:t xml:space="preserve"/>
      </w:r>
    </w:p>
    <w:p>
      <w:pPr>
        <w:pStyle w:val="Heading2"/>
        <w:pBdr>
          <w:bottom w:val="single" w:color="0D7B8A" w:sz="4" w:space="4"/>
        </w:pBdr>
        <w:spacing w:before="280" w:after="120"/>
      </w:pPr>
      <w:r>
        <w:rPr>
          <w:rFonts w:ascii="Arial" w:cs="Arial" w:eastAsia="Arial" w:hAnsi="Arial"/>
          <w:b/>
          <w:bCs/>
          <w:color w:val="0D7B8A"/>
          <w:sz w:val="26"/>
          <w:szCs w:val="26"/>
        </w:rPr>
        <w:t xml:space="preserve">Non-Repayable Grant Potential</w:t>
      </w:r>
    </w:p>
    <w:p>
      <w:pPr>
        <w:spacing w:before="80" w:after="120"/>
      </w:pPr>
      <w:r>
        <w:rPr>
          <w:rFonts w:ascii="Arial" w:cs="Arial" w:eastAsia="Arial" w:hAnsi="Arial"/>
          <w:color w:val="333333"/>
          <w:sz w:val="22"/>
          <w:szCs w:val="22"/>
        </w:rPr>
        <w:t xml:space="preserve">Based on identified federal, provincial, and regional programs — including NRC IRAP, the Ontario Regional Development Program, and Fort Erie's Gateway Community Improvement Plan — NAC anticipates $100,000–$250,000 in non-repayable support during Year 1, significantly reducing the effective net capital requirement for investors. NYPA hydropower cost reductions and START-UP NY tax abatements provide ongoing operational savings on the US side.</w:t>
      </w:r>
    </w:p>
    <w:p>
      <w:pPr>
        <w:spacing w:before="300" w:after="0"/>
      </w:pPr>
      <w:r>
        <w:t xml:space="preserve"/>
      </w:r>
    </w:p>
    <w:p>
      <w:r>
        <w:br w:type="page"/>
      </w:r>
    </w:p>
    <w:p>
      <w:pPr>
        <w:pStyle w:val="Heading1"/>
        <w:spacing w:before="400" w:after="160"/>
      </w:pPr>
      <w:r>
        <w:rPr>
          <w:rFonts w:ascii="Arial" w:cs="Arial" w:eastAsia="Arial" w:hAnsi="Arial"/>
          <w:b/>
          <w:bCs/>
          <w:color w:val="1A2F5A"/>
          <w:sz w:val="32"/>
          <w:szCs w:val="32"/>
        </w:rPr>
        <w:t xml:space="preserve">Why Now. Why Here.</w:t>
      </w:r>
    </w:p>
    <w:p>
      <w:pPr>
        <w:spacing w:before="80" w:after="120"/>
      </w:pPr>
      <w:r>
        <w:rPr>
          <w:rFonts w:ascii="Arial" w:cs="Arial" w:eastAsia="Arial" w:hAnsi="Arial"/>
          <w:color w:val="333333"/>
          <w:sz w:val="22"/>
          <w:szCs w:val="22"/>
        </w:rPr>
        <w:t xml:space="preserve">The conditions for NAC's success are converging in a way that will not persist indefinitely. Reshoring incentives are at a historic high, but they are time-limited. The cohort of aging owner-operators in the Niagara manufacturing base is at peak succession pressure — a window for acquisition at reasonable valuations that will close as other acquirers recognize it. And the academic and talent infrastructure in both Hamilton and Buffalo has reached a level of sophistication that makes workforce development for precision electronics both achievable and scalable.</w:t>
      </w:r>
    </w:p>
    <w:p>
      <w:pPr>
        <w:spacing w:before="120" w:after="0"/>
      </w:pPr>
      <w:r>
        <w:t xml:space="preserve"/>
      </w:r>
    </w:p>
    <w:p>
      <w:pPr>
        <w:spacing w:before="80" w:after="120"/>
      </w:pPr>
      <w:r>
        <w:rPr>
          <w:rFonts w:ascii="Arial" w:cs="Arial" w:eastAsia="Arial" w:hAnsi="Arial"/>
          <w:color w:val="333333"/>
          <w:sz w:val="22"/>
          <w:szCs w:val="22"/>
        </w:rPr>
        <w:t xml:space="preserve">The 'Kingsville model' is instructive: Essex County's greenhouse transformation did not happen because of a single large investment. It happened because a critical mass of specialized, coordinated actors chose to cluster in a defined geography and build shared infrastructure. NAC is engineering that same dynamic for electronics manufacturing in the Niagara Peninsula — with the additional advantage of a binational footprint, a deeply differentiated technical offering, and a leadership team that understands both the production floor and the policy environment.</w:t>
      </w:r>
    </w:p>
    <w:p>
      <w:pPr>
        <w:spacing w:before="120" w:after="0"/>
      </w:pPr>
      <w:r>
        <w:t xml:space="preserve"/>
      </w:r>
    </w:p>
    <w:p>
      <w:pPr>
        <w:spacing w:before="80" w:after="120"/>
      </w:pPr>
      <w:r>
        <w:rPr>
          <w:rFonts w:ascii="Arial" w:cs="Arial" w:eastAsia="Arial" w:hAnsi="Arial"/>
          <w:b/>
          <w:bCs/>
          <w:color w:val="333333"/>
          <w:sz w:val="22"/>
          <w:szCs w:val="22"/>
        </w:rPr>
        <w:t xml:space="preserve">We are not asking investors to bet on electronics manufacturing in the abstract. We are inviting them to participate in the deliberate construction of a regional industrial ecosystem — one with identified anchor assets, proven demand signals, committed government partners, and a clear pathway from Hamilton pilot to binational network.</w:t>
      </w:r>
    </w:p>
    <w:p>
      <w:pPr>
        <w:spacing w:before="400" w:after="0"/>
      </w:pPr>
      <w:r>
        <w:t xml:space="preserve"/>
      </w:r>
    </w:p>
    <w:p>
      <w:pPr>
        <w:pBdr>
          <w:top w:val="single" w:color="C49A1A" w:sz="4" w:space="12"/>
        </w:pBdr>
        <w:spacing w:before="240" w:after="80"/>
        <w:jc w:val="center"/>
      </w:pPr>
      <w:r>
        <w:rPr>
          <w:rFonts w:ascii="Arial" w:cs="Arial" w:eastAsia="Arial" w:hAnsi="Arial"/>
          <w:b/>
          <w:bCs/>
          <w:color w:val="1A2F5A"/>
          <w:sz w:val="22"/>
          <w:szCs w:val="22"/>
        </w:rPr>
        <w:t xml:space="preserve">Niagara Assembly Center  |  Hamilton, Ontario</w:t>
      </w:r>
    </w:p>
    <w:p>
      <w:pPr>
        <w:jc w:val="center"/>
      </w:pPr>
      <w:r>
        <w:rPr>
          <w:rFonts w:ascii="Arial" w:cs="Arial" w:eastAsia="Arial" w:hAnsi="Arial"/>
          <w:i/>
          <w:iCs/>
          <w:color w:val="999999"/>
          <w:sz w:val="18"/>
          <w:szCs w:val="18"/>
        </w:rPr>
        <w:t xml:space="preserve">Confidential. For qualified investors only. Not for public distribution.</w:t>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B8A" w:sz="4" w:space="6"/>
      </w:pBdr>
      <w:jc w:val="center"/>
    </w:pPr>
    <w:r>
      <w:rPr>
        <w:rFonts w:ascii="Arial" w:cs="Arial" w:eastAsia="Arial" w:hAnsi="Arial"/>
        <w:color w:val="888888"/>
        <w:sz w:val="18"/>
        <w:szCs w:val="18"/>
      </w:rPr>
      <w:t xml:space="preserve">Niagara Assembly Center  |  Confidential Investment Brief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2026-02-18T12:10:34.146Z</dcterms:created>
  <dcterms:modified xsi:type="dcterms:W3CDTF">2026-02-18T12:10:34.147Z</dcterms:modified>
</cp:coreProperties>
</file>

<file path=docProps/custom.xml><?xml version="1.0" encoding="utf-8"?>
<Properties xmlns="http://schemas.openxmlformats.org/officeDocument/2006/custom-properties" xmlns:vt="http://schemas.openxmlformats.org/officeDocument/2006/docPropsVTypes"/>
</file>