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5A" w:val="clear"/>
            <w:tcMar>
              <w:top w:type="dxa" w:w="180"/>
              <w:left w:type="dxa" w:w="240"/>
              <w:bottom w:type="dxa" w:w="10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NIAGARA ASSEMBLY CENTER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9FD8DF"/>
                <w:sz w:val="20"/>
                <w:szCs w:val="20"/>
              </w:rPr>
              <w:t xml:space="preserve">Integrated Electronics Manufacturing  |  Hamilton, Ontario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9A1A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One-Page Teaser  —  For Investment Readiness Review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4"/>
        <w:gridCol w:w="2044"/>
        <w:gridCol w:w="2044"/>
        <w:gridCol w:w="2044"/>
        <w:gridCol w:w="2048"/>
      </w:tblGrid>
      <w:tr>
        <w:tc>
          <w:tcPr>
            <w:tcW w:type="dxa" w:w="2044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E8F4F6" w:val="clear"/>
            <w:tcMar>
              <w:top w:type="dxa" w:w="8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5A"/>
                <w:sz w:val="26"/>
                <w:szCs w:val="26"/>
              </w:rPr>
              <w:t xml:space="preserve">$279K</w:t>
            </w:r>
          </w:p>
        </w:tc>
        <w:tc>
          <w:tcPr>
            <w:tcW w:type="dxa" w:w="2044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E8F4F6" w:val="clear"/>
            <w:tcMar>
              <w:top w:type="dxa" w:w="8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5A"/>
                <w:sz w:val="26"/>
                <w:szCs w:val="26"/>
              </w:rPr>
              <w:t xml:space="preserve">$628K</w:t>
            </w:r>
          </w:p>
        </w:tc>
        <w:tc>
          <w:tcPr>
            <w:tcW w:type="dxa" w:w="2044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E8F4F6" w:val="clear"/>
            <w:tcMar>
              <w:top w:type="dxa" w:w="8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5A"/>
                <w:sz w:val="26"/>
                <w:szCs w:val="26"/>
              </w:rPr>
              <w:t xml:space="preserve">$100–250K</w:t>
            </w:r>
          </w:p>
        </w:tc>
        <w:tc>
          <w:tcPr>
            <w:tcW w:type="dxa" w:w="2044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E8F4F6" w:val="clear"/>
            <w:tcMar>
              <w:top w:type="dxa" w:w="8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5A"/>
                <w:sz w:val="26"/>
                <w:szCs w:val="26"/>
              </w:rPr>
              <w:t xml:space="preserve">4 FTE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8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5A"/>
                <w:sz w:val="26"/>
                <w:szCs w:val="26"/>
              </w:rPr>
              <w:t xml:space="preserve">~$29K/mo</w:t>
            </w:r>
          </w:p>
        </w:tc>
      </w:tr>
      <w:tr>
        <w:tc>
          <w:tcPr>
            <w:tcW w:type="dxa" w:w="2044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E8F4F6" w:val="clear"/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Startup Capital</w:t>
            </w:r>
          </w:p>
        </w:tc>
        <w:tc>
          <w:tcPr>
            <w:tcW w:type="dxa" w:w="2044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E8F4F6" w:val="clear"/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Year-One Budget</w:t>
            </w:r>
          </w:p>
        </w:tc>
        <w:tc>
          <w:tcPr>
            <w:tcW w:type="dxa" w:w="2044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E8F4F6" w:val="clear"/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Grant Offset (est.)</w:t>
            </w:r>
          </w:p>
        </w:tc>
        <w:tc>
          <w:tcPr>
            <w:tcW w:type="dxa" w:w="2044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E8F4F6" w:val="clear"/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Initial Headcount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4"/>
                <w:szCs w:val="14"/>
              </w:rPr>
              <w:t xml:space="preserve">Steady-State OpEx</w:t>
            </w:r>
          </w:p>
        </w:tc>
      </w:tr>
    </w:tbl>
    <w:p>
      <w:pPr>
        <w:pBdr>
          <w:bottom w:val="single" w:color="0D7B8A" w:sz="4" w:space="2"/>
        </w:pBdr>
        <w:spacing w:before="140" w:after="60"/>
      </w:pPr>
      <w:r>
        <w:rPr>
          <w:rFonts w:ascii="Arial" w:cs="Arial" w:eastAsia="Arial" w:hAnsi="Arial"/>
          <w:b/>
          <w:bCs/>
          <w:color w:val="0D7B8A"/>
          <w:sz w:val="17"/>
          <w:szCs w:val="17"/>
        </w:rPr>
        <w:t xml:space="preserve">THE INVESTMENT THESIS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NAC is the first North American company to vertically integrate small-batch PCB assembly, binary-level firmware optimization, and workforce education under a single operating entity. No direct competitor holds this position. The business enters a market experiencing peak reshoring demand, anchors in Hamilton's underutilized industrial base, and is structured from inception for targeted M&amp;A across the Greater Niagara–Buffalo corridor.</w:t>
      </w:r>
    </w:p>
    <w:p>
      <w:pPr>
        <w:pBdr>
          <w:bottom w:val="single" w:color="0D7B8A" w:sz="4" w:space="2"/>
        </w:pBdr>
        <w:spacing w:before="140" w:after="60"/>
      </w:pPr>
      <w:r>
        <w:rPr>
          <w:rFonts w:ascii="Arial" w:cs="Arial" w:eastAsia="Arial" w:hAnsi="Arial"/>
          <w:b/>
          <w:bCs/>
          <w:color w:val="0D7B8A"/>
          <w:sz w:val="17"/>
          <w:szCs w:val="17"/>
        </w:rPr>
        <w:t xml:space="preserve">MARKET POSITION &amp; BUSINESS MODEL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Three integrated revenue pillars: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Precision small-batch PCB &amp; electronics assembly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Firmware &amp; embedded systems optimization (assembly/binary level)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Workforce education &amp; ecosystem services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Client value proposition: Single-vendor end-to-end from prototype to tested, firmware-optimized, certified, packaged unit — eliminating 5+ vendor relationships.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Revenue architecture: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Direct assembly contracts (industrial IoT, edge devices, work equipment)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Firmware retainer &amp; optimization engagements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Training &amp; certification program fees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Ecosystem services: facility compliance, automation advisory, metrics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M&amp;A integration margin uplift from acquired network partners</w:t>
            </w:r>
          </w:p>
        </w:tc>
      </w:tr>
    </w:tbl>
    <w:p>
      <w:pPr>
        <w:pBdr>
          <w:bottom w:val="single" w:color="0D7B8A" w:sz="4" w:space="2"/>
        </w:pBdr>
        <w:spacing w:before="140" w:after="60"/>
      </w:pPr>
      <w:r>
        <w:rPr>
          <w:rFonts w:ascii="Arial" w:cs="Arial" w:eastAsia="Arial" w:hAnsi="Arial"/>
          <w:b/>
          <w:bCs/>
          <w:color w:val="0D7B8A"/>
          <w:sz w:val="17"/>
          <w:szCs w:val="17"/>
        </w:rPr>
        <w:t xml:space="preserve">CAPITAL STRUCTURE &amp; FUNDING PATHWAY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Use of funds: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Facility fit-out &amp; leasehold: $60–90K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Assembly &amp; test equipment: $80–110K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IT infrastructure: $18–25K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Inventory, tooling &amp; working capital: $80–110K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Legal, registration &amp; BD: $25–37K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Non-dilutive funding (Year 1):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NRC IRAP — R&amp;D wage subsidy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Canada Small Business Financing Program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Ontario Regional Development grants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Fort Erie Gateway CIP — property tax relief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START-UP NY / NYPA hydro rate (US entity)</w:t>
            </w:r>
          </w:p>
        </w:tc>
      </w:tr>
    </w:tbl>
    <w:p>
      <w:pPr>
        <w:pBdr>
          <w:bottom w:val="single" w:color="0D7B8A" w:sz="4" w:space="2"/>
        </w:pBdr>
        <w:spacing w:before="140" w:after="60"/>
      </w:pPr>
      <w:r>
        <w:rPr>
          <w:rFonts w:ascii="Arial" w:cs="Arial" w:eastAsia="Arial" w:hAnsi="Arial"/>
          <w:b/>
          <w:bCs/>
          <w:color w:val="0D7B8A"/>
          <w:sz w:val="17"/>
          <w:szCs w:val="17"/>
        </w:rPr>
        <w:t xml:space="preserve">GEOGRAPHIC STRATEGY &amp; M&amp;A PIPELINE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Phase 1 — Hamilton anchor (4–8K sq ft): Full-stack assembly, test, firmware lab, training &amp; network coordination hub. Phase 2 — Fort Erie: Binational office bridging Ontario and New York State actors, enabling cross-border production flows via Peace Bridge. Phase 3 — Buffalo-Niagara (US entity): SUNY EE/CS partnerships, START-UP NY, NYPA hydro rates. M&amp;A targets: PCB fabs, CNC/precision shops, sheet metal, wire harness, injection molding — prioritizing succession-motivated owners in the Hamilton–Brantford–Fort Erie corridor.</w:t>
      </w:r>
    </w:p>
    <w:p>
      <w:pPr>
        <w:pBdr>
          <w:bottom w:val="single" w:color="0D7B8A" w:sz="4" w:space="2"/>
        </w:pBdr>
        <w:spacing w:before="140" w:after="60"/>
      </w:pPr>
      <w:r>
        <w:rPr>
          <w:rFonts w:ascii="Arial" w:cs="Arial" w:eastAsia="Arial" w:hAnsi="Arial"/>
          <w:b/>
          <w:bCs/>
          <w:color w:val="0D7B8A"/>
          <w:sz w:val="17"/>
          <w:szCs w:val="17"/>
        </w:rPr>
        <w:t xml:space="preserve">DEFENSIBILITY &amp; MOAT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E8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2F5A"/>
                <w:sz w:val="17"/>
                <w:szCs w:val="17"/>
              </w:rPr>
              <w:t xml:space="preserve">Technical Depth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Binary/assembly firmware expertise creates high switching costs and premium pricing power for embedded optimization engagements.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E8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2F5A"/>
                <w:sz w:val="17"/>
                <w:szCs w:val="17"/>
              </w:rPr>
              <w:t xml:space="preserve">Network Effects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Shared metrics platform creates data lock-in for ecosystem partners. Each new partner increases analytical value for all others.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2F5A"/>
                <w:sz w:val="17"/>
                <w:szCs w:val="17"/>
              </w:rPr>
              <w:t xml:space="preserve">M&amp;A Compounding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Each acquisition reduces input costs, expands capacity, and deepens client relationships — a self-reinforcing integration flywheel.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i/>
          <w:iCs/>
          <w:color w:val="0D7B8A"/>
          <w:sz w:val="16"/>
          <w:szCs w:val="16"/>
        </w:rPr>
        <w:t xml:space="preserve">NAC is seeking investment readiness advisory support and introductions to aligned capital partners. Full financial model, market research, and operating plan available on request.</w:t>
      </w:r>
    </w:p>
    <w:sectPr>
      <w:footerReference w:type="default" r:id="rId6"/>
      <w:pgSz w:w="12240" w:h="15840" w:orient="portrait"/>
      <w:pgMar w:top="504" w:right="1008" w:bottom="50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B8A" w:sz="4" w:space="4"/>
      </w:pBdr>
      <w:spacing w:before="60"/>
      <w:jc w:val="center"/>
    </w:pPr>
    <w:r>
      <w:rPr>
        <w:rFonts w:ascii="Arial" w:cs="Arial" w:eastAsia="Arial" w:hAnsi="Arial"/>
        <w:i/>
        <w:iCs/>
        <w:color w:val="777777"/>
        <w:sz w:val="14"/>
        <w:szCs w:val="14"/>
      </w:rPr>
      <w:t xml:space="preserve">Niagara Assembly Center  |  Confidential  |  Hamilton, Ontario  |  Page </w:t>
    </w:r>
    <w:r>
      <w:rPr>
        <w:rFonts w:ascii="Arial" w:cs="Arial" w:eastAsia="Arial" w:hAnsi="Arial"/>
        <w:i/>
        <w:iCs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2026-02-18T12:40:52.332Z</dcterms:created>
  <dcterms:modified xsi:type="dcterms:W3CDTF">2026-02-18T12:40:52.333Z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