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2A4A"/>
          <w:spacing w:val="200"/>
          <w:sz w:val="52"/>
          <w:szCs w:val="52"/>
        </w:rPr>
        <w:t xml:space="preserve">CLARK</w:t>
      </w:r>
    </w:p>
    <w:p>
      <w:pPr>
        <w:spacing w:before="40" w:after="0"/>
      </w:pPr>
      <w:r>
        <w:rPr>
          <w:rFonts w:ascii="Arial" w:cs="Arial" w:eastAsia="Arial" w:hAnsi="Arial"/>
          <w:color w:val="555555"/>
          <w:sz w:val="16"/>
          <w:szCs w:val="16"/>
        </w:rPr>
        <w:t xml:space="preserve">Precision Assembly  ·  Firmware Optimization  ·  Workforce Training  ·  Network Logistics</w:t>
      </w:r>
    </w:p>
    <w:p>
      <w:pPr>
        <w:pBdr>
          <w:bottom w:val="single" w:color="2E75B6" w:sz="6" w:space="1"/>
        </w:pBdr>
        <w:spacing w:before="120" w:after="0"/>
      </w:pPr>
    </w:p>
    <w:p>
      <w:pPr>
        <w:spacing w:before="160" w:after="50"/>
      </w:pPr>
      <w:r>
        <w:rPr>
          <w:rFonts w:ascii="Arial" w:cs="Arial" w:eastAsia="Arial" w:hAnsi="Arial"/>
          <w:b/>
          <w:bCs/>
          <w:color w:val="2E75B6"/>
          <w:spacing w:val="80"/>
          <w:sz w:val="18"/>
          <w:szCs w:val="18"/>
        </w:rPr>
        <w:t xml:space="preserve">VISION</w:t>
      </w:r>
    </w:p>
    <w:p>
      <w:pPr>
        <w:spacing w:before="0" w:after="50" w:line="248"/>
      </w:pPr>
      <w:r>
        <w:rPr>
          <w:rFonts w:ascii="Arial" w:cs="Arial" w:eastAsia="Arial" w:hAnsi="Arial"/>
          <w:color w:val="333333"/>
          <w:sz w:val="18"/>
          <w:szCs w:val="18"/>
        </w:rPr>
        <w:t xml:space="preserve">Clark is a Delaware-incorporated platform company that builds, funds, and coordinates a binational network of precision electronics assembly facilities across the United States and Canada. Clark owns the network’s shared intellectual property, brand system, training curricula, software tools, and logistics infrastructure, licensing these assets to independently owned and operated regional nodes. Each node delivers three integrated services: small-batch PCB and PCBA assembly, binary-level firmware optimization, and IPC-certified workforce training. No North American competitor combines all three capabilities within a networked, logistics-coordinated model.</w:t>
      </w:r>
    </w:p>
    <w:p>
      <w:pPr>
        <w:spacing w:before="160" w:after="50"/>
      </w:pPr>
      <w:r>
        <w:rPr>
          <w:rFonts w:ascii="Arial" w:cs="Arial" w:eastAsia="Arial" w:hAnsi="Arial"/>
          <w:b/>
          <w:bCs/>
          <w:color w:val="2E75B6"/>
          <w:spacing w:val="80"/>
          <w:sz w:val="18"/>
          <w:szCs w:val="18"/>
        </w:rPr>
        <w:t xml:space="preserve">HOW THE NETWORK OPERATES</w:t>
      </w:r>
    </w:p>
    <w:p>
      <w:pPr>
        <w:spacing w:before="0" w:after="50" w:line="248"/>
      </w:pPr>
      <w:r>
        <w:rPr>
          <w:rFonts w:ascii="Arial" w:cs="Arial" w:eastAsia="Arial" w:hAnsi="Arial"/>
          <w:color w:val="333333"/>
          <w:sz w:val="18"/>
          <w:szCs w:val="18"/>
        </w:rPr>
        <w:t xml:space="preserve">Clark activates new facilities through structured mechanisms. </w:t>
      </w:r>
      <w:r>
        <w:rPr>
          <w:rFonts w:ascii="Arial" w:cs="Arial" w:eastAsia="Arial" w:hAnsi="Arial"/>
          <w:b/>
          <w:bCs/>
          <w:color w:val="333333"/>
          <w:sz w:val="18"/>
          <w:szCs w:val="18"/>
        </w:rPr>
        <w:t xml:space="preserve">Calls for Research</w:t>
      </w:r>
      <w:r>
        <w:rPr>
          <w:rFonts w:ascii="Arial" w:cs="Arial" w:eastAsia="Arial" w:hAnsi="Arial"/>
          <w:color w:val="333333"/>
          <w:sz w:val="18"/>
          <w:szCs w:val="18"/>
        </w:rPr>
        <w:t xml:space="preserve"> commission network nodes to investigate and resolve technical challenges—with Clark defining the commercial problem and the performing node owning the technical approach. </w:t>
      </w:r>
      <w:r>
        <w:rPr>
          <w:rFonts w:ascii="Arial" w:cs="Arial" w:eastAsia="Arial" w:hAnsi="Arial"/>
          <w:b/>
          <w:bCs/>
          <w:color w:val="333333"/>
          <w:sz w:val="18"/>
          <w:szCs w:val="18"/>
        </w:rPr>
        <w:t xml:space="preserve">Calls for Facilities</w:t>
      </w:r>
      <w:r>
        <w:rPr>
          <w:rFonts w:ascii="Arial" w:cs="Arial" w:eastAsia="Arial" w:hAnsi="Arial"/>
          <w:color w:val="333333"/>
          <w:sz w:val="18"/>
          <w:szCs w:val="18"/>
        </w:rPr>
        <w:t xml:space="preserve"> define requirements for new nodes in target regions; Clark co-invests seed capital alongside selected operators, acquiring a minority equity position while the operator retains majority ownership and full operational autonomy. Clark also pursues a disciplined </w:t>
      </w:r>
      <w:r>
        <w:rPr>
          <w:rFonts w:ascii="Arial" w:cs="Arial" w:eastAsia="Arial" w:hAnsi="Arial"/>
          <w:b/>
          <w:bCs/>
          <w:color w:val="333333"/>
          <w:sz w:val="18"/>
          <w:szCs w:val="18"/>
        </w:rPr>
        <w:t xml:space="preserve">M&amp;A strategy</w:t>
      </w:r>
      <w:r>
        <w:rPr>
          <w:rFonts w:ascii="Arial" w:cs="Arial" w:eastAsia="Arial" w:hAnsi="Arial"/>
          <w:color w:val="333333"/>
          <w:sz w:val="18"/>
          <w:szCs w:val="18"/>
        </w:rPr>
        <w:t xml:space="preserve"> targeting precision manufacturers with aging ownership across the Great Lakes corridor, converting acquired businesses into licensed network nodes.</w:t>
      </w:r>
    </w:p>
    <w:p>
      <w:pPr>
        <w:spacing w:before="160" w:after="50"/>
      </w:pPr>
      <w:r>
        <w:rPr>
          <w:rFonts w:ascii="Arial" w:cs="Arial" w:eastAsia="Arial" w:hAnsi="Arial"/>
          <w:b/>
          <w:bCs/>
          <w:color w:val="2E75B6"/>
          <w:spacing w:val="80"/>
          <w:sz w:val="18"/>
          <w:szCs w:val="18"/>
        </w:rPr>
        <w:t xml:space="preserve">REVENUE ARCHITECTURE</w:t>
      </w:r>
    </w:p>
    <w:p>
      <w:pPr>
        <w:spacing w:before="0" w:after="50" w:line="248"/>
      </w:pPr>
      <w:r>
        <w:rPr>
          <w:rFonts w:ascii="Arial" w:cs="Arial" w:eastAsia="Arial" w:hAnsi="Arial"/>
          <w:color w:val="333333"/>
          <w:sz w:val="18"/>
          <w:szCs w:val="18"/>
        </w:rPr>
        <w:t xml:space="preserve">Clark generates revenue at multiple layers. </w:t>
      </w:r>
      <w:r>
        <w:rPr>
          <w:rFonts w:ascii="Arial" w:cs="Arial" w:eastAsia="Arial" w:hAnsi="Arial"/>
          <w:b/>
          <w:bCs/>
          <w:color w:val="333333"/>
          <w:sz w:val="18"/>
          <w:szCs w:val="18"/>
        </w:rPr>
        <w:t xml:space="preserve">Platform fees</w:t>
      </w:r>
      <w:r>
        <w:rPr>
          <w:rFonts w:ascii="Arial" w:cs="Arial" w:eastAsia="Arial" w:hAnsi="Arial"/>
          <w:color w:val="333333"/>
          <w:sz w:val="18"/>
          <w:szCs w:val="18"/>
        </w:rPr>
        <w:t xml:space="preserve"> include IP licensing royalties, fees for logistics coordination and infrastructure services, training license fees, software licensing fees for proprietary Theia IDE configurations and AI agent services, and node onboarding fees. </w:t>
      </w:r>
      <w:r>
        <w:rPr>
          <w:rFonts w:ascii="Arial" w:cs="Arial" w:eastAsia="Arial" w:hAnsi="Arial"/>
          <w:b/>
          <w:bCs/>
          <w:color w:val="333333"/>
          <w:sz w:val="18"/>
          <w:szCs w:val="18"/>
        </w:rPr>
        <w:t xml:space="preserve">Equity appreciation</w:t>
      </w:r>
      <w:r>
        <w:rPr>
          <w:rFonts w:ascii="Arial" w:cs="Arial" w:eastAsia="Arial" w:hAnsi="Arial"/>
          <w:color w:val="333333"/>
          <w:sz w:val="18"/>
          <w:szCs w:val="18"/>
        </w:rPr>
        <w:t xml:space="preserve"> accrues through Clark’s minority stakes in each node it capitalizes. </w:t>
      </w:r>
      <w:r>
        <w:rPr>
          <w:rFonts w:ascii="Arial" w:cs="Arial" w:eastAsia="Arial" w:hAnsi="Arial"/>
          <w:b/>
          <w:bCs/>
          <w:color w:val="333333"/>
          <w:sz w:val="18"/>
          <w:szCs w:val="18"/>
        </w:rPr>
        <w:t xml:space="preserve">Capital recycling</w:t>
      </w:r>
      <w:r>
        <w:rPr>
          <w:rFonts w:ascii="Arial" w:cs="Arial" w:eastAsia="Arial" w:hAnsi="Arial"/>
          <w:color w:val="333333"/>
          <w:sz w:val="18"/>
          <w:szCs w:val="18"/>
        </w:rPr>
        <w:t xml:space="preserve"> enables Clark to realize returns on mature positions and redeploy into new facilities. Nodes that originate IP under Calls for Research earn ongoing revenue participation as that IP is deployed across the network.</w:t>
      </w:r>
    </w:p>
    <w:p>
      <w:pPr>
        <w:spacing w:before="160" w:after="50"/>
      </w:pPr>
      <w:r>
        <w:rPr>
          <w:rFonts w:ascii="Arial" w:cs="Arial" w:eastAsia="Arial" w:hAnsi="Arial"/>
          <w:b/>
          <w:bCs/>
          <w:color w:val="2E75B6"/>
          <w:spacing w:val="80"/>
          <w:sz w:val="18"/>
          <w:szCs w:val="18"/>
        </w:rPr>
        <w:t xml:space="preserve">ANCHOR NODES</w:t>
      </w:r>
    </w:p>
    <w:p>
      <w:pPr>
        <w:spacing w:before="0" w:after="50" w:line="248"/>
      </w:pPr>
      <w:r>
        <w:rPr>
          <w:rFonts w:ascii="Arial" w:cs="Arial" w:eastAsia="Arial" w:hAnsi="Arial"/>
          <w:b/>
          <w:bCs/>
          <w:color w:val="333333"/>
          <w:sz w:val="18"/>
          <w:szCs w:val="18"/>
        </w:rPr>
        <w:t xml:space="preserve">Niagara Assembly</w:t>
      </w:r>
      <w:r>
        <w:rPr>
          <w:rFonts w:ascii="Arial" w:cs="Arial" w:eastAsia="Arial" w:hAnsi="Arial"/>
          <w:color w:val="333333"/>
          <w:sz w:val="18"/>
          <w:szCs w:val="18"/>
        </w:rPr>
        <w:t xml:space="preserve"> in Hamilton, Ontario is the network’s founding node and primary R&amp;D engine, located on Clark Avenue near Hamilton Central Business Park, which offers rapid expansion opportunities. Niagara Assembly recruits from the University of Waterloo, McMaster, and the University of Toronto, and promotes to hardware startups emerging from those ecosystems. </w:t>
      </w:r>
      <w:r>
        <w:rPr>
          <w:rFonts w:ascii="Arial" w:cs="Arial" w:eastAsia="Arial" w:hAnsi="Arial"/>
          <w:b/>
          <w:bCs/>
          <w:color w:val="333333"/>
          <w:sz w:val="18"/>
          <w:szCs w:val="18"/>
        </w:rPr>
        <w:t xml:space="preserve">Buffalo Assembly</w:t>
      </w:r>
      <w:r>
        <w:rPr>
          <w:rFonts w:ascii="Arial" w:cs="Arial" w:eastAsia="Arial" w:hAnsi="Arial"/>
          <w:color w:val="333333"/>
          <w:sz w:val="18"/>
          <w:szCs w:val="18"/>
        </w:rPr>
        <w:t xml:space="preserve"> on the East Side of Buffalo, New York is the network’s American anchor, serving U.S. industrial and defense-adjacent clients with a clean domestic licensing structure. </w:t>
      </w:r>
      <w:r>
        <w:rPr>
          <w:rFonts w:ascii="Arial" w:cs="Arial" w:eastAsia="Arial" w:hAnsi="Arial"/>
          <w:b/>
          <w:bCs/>
          <w:color w:val="333333"/>
          <w:sz w:val="18"/>
          <w:szCs w:val="18"/>
        </w:rPr>
        <w:t xml:space="preserve">Dunkirk, New York</w:t>
      </w:r>
      <w:r>
        <w:rPr>
          <w:rFonts w:ascii="Arial" w:cs="Arial" w:eastAsia="Arial" w:hAnsi="Arial"/>
          <w:color w:val="333333"/>
          <w:sz w:val="18"/>
          <w:szCs w:val="18"/>
        </w:rPr>
        <w:t xml:space="preserve"> is flagged as an ideal storage and shipping hub, achieving rural economic development consistent with Upstate New York policy objectives. Together, these nodes exploit Canadian R&amp;D cost advantages against USD-denominated contract revenue under CUSMA.</w:t>
      </w:r>
    </w:p>
    <w:p>
      <w:pPr>
        <w:spacing w:before="160" w:after="50"/>
      </w:pPr>
      <w:r>
        <w:rPr>
          <w:rFonts w:ascii="Arial" w:cs="Arial" w:eastAsia="Arial" w:hAnsi="Arial"/>
          <w:b/>
          <w:bCs/>
          <w:color w:val="2E75B6"/>
          <w:spacing w:val="80"/>
          <w:sz w:val="18"/>
          <w:szCs w:val="18"/>
        </w:rPr>
        <w:t xml:space="preserve">STRUCTURAL ADVANTAGE</w:t>
      </w:r>
    </w:p>
    <w:p>
      <w:pPr>
        <w:spacing w:before="0" w:after="50" w:line="248"/>
      </w:pPr>
      <w:r>
        <w:rPr>
          <w:rFonts w:ascii="Arial" w:cs="Arial" w:eastAsia="Arial" w:hAnsi="Arial"/>
          <w:color w:val="333333"/>
          <w:sz w:val="18"/>
          <w:szCs w:val="18"/>
        </w:rPr>
        <w:t xml:space="preserve">Clark’s network model combines the scalability of a franchise system, the innovation economics of a venture studio, and the operational coordination of a supply chain platform. Each new node expands the network’s total capability rather than duplicating it—nodes specialize by market vertical, certification profile, or technical strength, and Clark’s logistics layer routes work based on capability fit. The Reshoring Initiative reports 244,000 U.S. manufacturing jobs announced in 2024, with workforce as the binding constraint. Clark’s training pillar addresses this directly: IPC certifications completed in days to weeks, not semesters, supported by a learning atmosphere more akin to a college campus than a factory floor.</w:t>
      </w:r>
    </w:p>
    <w:p>
      <w:pPr>
        <w:pBdr>
          <w:bottom w:val="single" w:color="2E75B6" w:sz="2" w:space="1"/>
        </w:pBdr>
        <w:spacing w:before="100" w:after="0"/>
      </w:pPr>
    </w:p>
    <w:p>
      <w:pPr>
        <w:spacing w:before="40" w:after="0"/>
        <w:jc w:val="center"/>
      </w:pPr>
      <w:r>
        <w:rPr>
          <w:rFonts w:ascii="Arial" w:cs="Arial" w:eastAsia="Arial" w:hAnsi="Arial"/>
          <w:i/>
          <w:iCs/>
          <w:color w:val="555555"/>
          <w:sz w:val="14"/>
          <w:szCs w:val="14"/>
        </w:rPr>
        <w:t xml:space="preserve">Clark  ·  Electronics Assembly and Inspection Network  ·  Wilmington, Delaware</w:t>
      </w:r>
    </w:p>
    <w:sectPr>
      <w:pgSz w:w="12240" w:h="15840" w:orient="portrait"/>
      <w:pgMar w:top="1000" w:right="1100" w:bottom="86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2026-03-20T06:49:34.984Z</dcterms:created>
  <dcterms:modified xsi:type="dcterms:W3CDTF">2026-03-20T06:49:34.985Z</dcterms:modified>
</cp:coreProperties>
</file>

<file path=docProps/custom.xml><?xml version="1.0" encoding="utf-8"?>
<Properties xmlns="http://schemas.openxmlformats.org/officeDocument/2006/custom-properties" xmlns:vt="http://schemas.openxmlformats.org/officeDocument/2006/docPropsVTypes"/>
</file>