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2A4A"/>
          <w:spacing w:val="180"/>
          <w:sz w:val="44"/>
          <w:szCs w:val="44"/>
        </w:rPr>
        <w:t xml:space="preserve">CLARK</w:t>
      </w:r>
      <w:r>
        <w:rPr>
          <w:rFonts w:ascii="Arial" w:cs="Arial" w:eastAsia="Arial" w:hAnsi="Arial"/>
          <w:sz w:val="44"/>
          <w:szCs w:val="44"/>
        </w:rPr>
        <w:t xml:space="preserve">    </w:t>
      </w:r>
      <w:r>
        <w:rPr>
          <w:rFonts w:ascii="Arial" w:cs="Arial" w:eastAsia="Arial" w:hAnsi="Arial"/>
          <w:b/>
          <w:bCs/>
          <w:color w:val="2E75B6"/>
          <w:spacing w:val="80"/>
          <w:sz w:val="24"/>
          <w:szCs w:val="24"/>
        </w:rPr>
        <w:t xml:space="preserve">VISION</w:t>
      </w:r>
    </w:p>
    <w:p>
      <w:pPr>
        <w:spacing w:before="40" w:after="0"/>
      </w:pPr>
      <w:r>
        <w:rPr>
          <w:rFonts w:ascii="Arial" w:cs="Arial" w:eastAsia="Arial" w:hAnsi="Arial"/>
          <w:color w:val="555555"/>
          <w:sz w:val="15"/>
          <w:szCs w:val="15"/>
        </w:rPr>
        <w:t xml:space="preserve">Precision Assembly  ·  Firmware Optimization  ·  Workforce Training  ·  Network Logistics</w:t>
      </w:r>
    </w:p>
    <w:p>
      <w:pPr>
        <w:pBdr>
          <w:bottom w:val="single" w:color="2E75B6" w:sz="5" w:space="1"/>
        </w:pBdr>
        <w:spacing w:before="80" w:after="0"/>
      </w:pPr>
    </w:p>
    <w:p>
      <w:pPr>
        <w:spacing w:before="120" w:after="40"/>
      </w:pPr>
      <w:r>
        <w:rPr>
          <w:rFonts w:ascii="Arial" w:cs="Arial" w:eastAsia="Arial" w:hAnsi="Arial"/>
          <w:b/>
          <w:bCs/>
          <w:color w:val="1B2A4A"/>
          <w:sz w:val="19"/>
          <w:szCs w:val="19"/>
        </w:rPr>
        <w:t xml:space="preserve">What Clark Is</w:t>
      </w:r>
    </w:p>
    <w:p>
      <w:pPr>
        <w:spacing w:before="0" w:after="50" w:line="248"/>
      </w:pPr>
      <w:r>
        <w:rPr>
          <w:rFonts w:ascii="Arial" w:cs="Arial" w:eastAsia="Arial" w:hAnsi="Arial"/>
          <w:color w:val="333333"/>
          <w:sz w:val="18"/>
          <w:szCs w:val="18"/>
        </w:rPr>
        <w:t xml:space="preserve">Clark is a Delaware-incorporated platform company that builds, funds, and coordinates a network of precision electronics assembly facilities across the United States and Canada. Clark owns the network’s shared intellectual property, brand system, training curricula, software tools, and logistics infrastructure, licensing these assets to independently owned and operated regional nodes. Each node delivers three integrated services: small-batch PCB and PCBA assembly, binary-level firmware optimization, and IPC-certified workforce training. Clark’s formation reflects a specific conviction: North America’s reindustrialization will be driven not by megafactories but by distributed networks of specialized small-batch facilities linked by shared standards, coordinated logistics, and continuously improving process and software IP.</w:t>
      </w:r>
    </w:p>
    <w:p>
      <w:pPr>
        <w:spacing w:before="140" w:after="40"/>
      </w:pPr>
      <w:r>
        <w:rPr>
          <w:rFonts w:ascii="Arial" w:cs="Arial" w:eastAsia="Arial" w:hAnsi="Arial"/>
          <w:b/>
          <w:bCs/>
          <w:color w:val="1B2A4A"/>
          <w:sz w:val="19"/>
          <w:szCs w:val="19"/>
        </w:rPr>
        <w:t xml:space="preserve">Why No One Else Combines All Three Pillars</w:t>
      </w:r>
    </w:p>
    <w:p>
      <w:pPr>
        <w:spacing w:before="0" w:after="50" w:line="248"/>
      </w:pPr>
      <w:r>
        <w:rPr>
          <w:rFonts w:ascii="Arial" w:cs="Arial" w:eastAsia="Arial" w:hAnsi="Arial"/>
          <w:color w:val="333333"/>
          <w:sz w:val="18"/>
          <w:szCs w:val="18"/>
        </w:rPr>
        <w:t xml:space="preserve">MacroFab in Houston validates the distributed model by routing jobs across 100+ factory lines—but it aggregates existing capacity without developing IP, training workers, or co-owning nodes. STI Electronics in Madison, Alabama combines assembly and IPC training and has delivered a million night-vision power supplies for L3Harris—but it lacks firmware optimization and operates from a single site. Firmware consultancies like Conclusive Engineering and Integra Sources offer embedded development but never assemble boards. Clark integrates all three pillars in a networked model with shared Theia-based software infrastructure, creating cross-selling dynamics and switching costs that no single-pillar competitor can replicate.</w:t>
      </w:r>
    </w:p>
    <w:p>
      <w:pPr>
        <w:spacing w:before="140" w:after="40"/>
      </w:pPr>
      <w:r>
        <w:rPr>
          <w:rFonts w:ascii="Arial" w:cs="Arial" w:eastAsia="Arial" w:hAnsi="Arial"/>
          <w:b/>
          <w:bCs/>
          <w:color w:val="1B2A4A"/>
          <w:sz w:val="19"/>
          <w:szCs w:val="19"/>
        </w:rPr>
        <w:t xml:space="preserve">How the Network Operates</w:t>
      </w:r>
    </w:p>
    <w:p>
      <w:pPr>
        <w:spacing w:before="0" w:after="50" w:line="248"/>
      </w:pPr>
      <w:r>
        <w:rPr>
          <w:rFonts w:ascii="Arial" w:cs="Arial" w:eastAsia="Arial" w:hAnsi="Arial"/>
          <w:b/>
          <w:bCs/>
          <w:color w:val="333333"/>
          <w:sz w:val="18"/>
          <w:szCs w:val="18"/>
        </w:rPr>
        <w:t xml:space="preserve">Calls for Research</w:t>
      </w:r>
      <w:r>
        <w:rPr>
          <w:rFonts w:ascii="Arial" w:cs="Arial" w:eastAsia="Arial" w:hAnsi="Arial"/>
          <w:color w:val="333333"/>
          <w:sz w:val="18"/>
          <w:szCs w:val="18"/>
        </w:rPr>
        <w:t xml:space="preserve"> commission nodes to investigate technical challenges, with Clark defining the commercial problem and the performing node owning the technical approach—preserving SR&amp;ED eligibility at the node level. </w:t>
      </w:r>
      <w:r>
        <w:rPr>
          <w:rFonts w:ascii="Arial" w:cs="Arial" w:eastAsia="Arial" w:hAnsi="Arial"/>
          <w:b/>
          <w:bCs/>
          <w:color w:val="333333"/>
          <w:sz w:val="18"/>
          <w:szCs w:val="18"/>
        </w:rPr>
        <w:t xml:space="preserve">Calls for Facilities</w:t>
      </w:r>
      <w:r>
        <w:rPr>
          <w:rFonts w:ascii="Arial" w:cs="Arial" w:eastAsia="Arial" w:hAnsi="Arial"/>
          <w:color w:val="333333"/>
          <w:sz w:val="18"/>
          <w:szCs w:val="18"/>
        </w:rPr>
        <w:t xml:space="preserve"> define requirements for new nodes in target regions; Clark co-invests seed capital alongside selected operators, acquiring a minority equity position (typically below 25%) while the operator retains majority ownership and full operational autonomy. Clark also pursues a disciplined </w:t>
      </w:r>
      <w:r>
        <w:rPr>
          <w:rFonts w:ascii="Arial" w:cs="Arial" w:eastAsia="Arial" w:hAnsi="Arial"/>
          <w:b/>
          <w:bCs/>
          <w:color w:val="333333"/>
          <w:sz w:val="18"/>
          <w:szCs w:val="18"/>
        </w:rPr>
        <w:t xml:space="preserve">M&amp;A strategy</w:t>
      </w:r>
      <w:r>
        <w:rPr>
          <w:rFonts w:ascii="Arial" w:cs="Arial" w:eastAsia="Arial" w:hAnsi="Arial"/>
          <w:color w:val="333333"/>
          <w:sz w:val="18"/>
          <w:szCs w:val="18"/>
        </w:rPr>
        <w:t xml:space="preserve"> targeting existing precision manufacturers across the Great Lakes corridor with aging ownership and succession needs, converting acquired businesses into licensed Clark nodes while preserving local employment and customer relationships.</w:t>
      </w:r>
    </w:p>
    <w:p>
      <w:pPr>
        <w:spacing w:before="140" w:after="40"/>
      </w:pPr>
      <w:r>
        <w:rPr>
          <w:rFonts w:ascii="Arial" w:cs="Arial" w:eastAsia="Arial" w:hAnsi="Arial"/>
          <w:b/>
          <w:bCs/>
          <w:color w:val="1B2A4A"/>
          <w:sz w:val="19"/>
          <w:szCs w:val="19"/>
        </w:rPr>
        <w:t xml:space="preserve">Revenue Architecture</w:t>
      </w:r>
    </w:p>
    <w:p>
      <w:pPr>
        <w:spacing w:before="0" w:after="50" w:line="248"/>
      </w:pPr>
      <w:r>
        <w:rPr>
          <w:rFonts w:ascii="Arial" w:cs="Arial" w:eastAsia="Arial" w:hAnsi="Arial"/>
          <w:color w:val="333333"/>
          <w:sz w:val="18"/>
          <w:szCs w:val="18"/>
        </w:rPr>
        <w:t xml:space="preserve">Clark generates revenue through </w:t>
      </w:r>
      <w:r>
        <w:rPr>
          <w:rFonts w:ascii="Arial" w:cs="Arial" w:eastAsia="Arial" w:hAnsi="Arial"/>
          <w:b/>
          <w:bCs/>
          <w:color w:val="333333"/>
          <w:sz w:val="18"/>
          <w:szCs w:val="18"/>
        </w:rPr>
        <w:t xml:space="preserve">platform fees</w:t>
      </w:r>
      <w:r>
        <w:rPr>
          <w:rFonts w:ascii="Arial" w:cs="Arial" w:eastAsia="Arial" w:hAnsi="Arial"/>
          <w:color w:val="333333"/>
          <w:sz w:val="18"/>
          <w:szCs w:val="18"/>
        </w:rPr>
        <w:t xml:space="preserve"> (IP licensing royalties, logistics coordination and infrastructure fees, training license fees, software licensing for proprietary Theia IDE configurations and AI agent services, and node onboarding fees), </w:t>
      </w:r>
      <w:r>
        <w:rPr>
          <w:rFonts w:ascii="Arial" w:cs="Arial" w:eastAsia="Arial" w:hAnsi="Arial"/>
          <w:b/>
          <w:bCs/>
          <w:color w:val="333333"/>
          <w:sz w:val="18"/>
          <w:szCs w:val="18"/>
        </w:rPr>
        <w:t xml:space="preserve">equity appreciation</w:t>
      </w:r>
      <w:r>
        <w:rPr>
          <w:rFonts w:ascii="Arial" w:cs="Arial" w:eastAsia="Arial" w:hAnsi="Arial"/>
          <w:color w:val="333333"/>
          <w:sz w:val="18"/>
          <w:szCs w:val="18"/>
        </w:rPr>
        <w:t xml:space="preserve"> in minority stakes across the node portfolio, and </w:t>
      </w:r>
      <w:r>
        <w:rPr>
          <w:rFonts w:ascii="Arial" w:cs="Arial" w:eastAsia="Arial" w:hAnsi="Arial"/>
          <w:b/>
          <w:bCs/>
          <w:color w:val="333333"/>
          <w:sz w:val="18"/>
          <w:szCs w:val="18"/>
        </w:rPr>
        <w:t xml:space="preserve">capital recycling</w:t>
      </w:r>
      <w:r>
        <w:rPr>
          <w:rFonts w:ascii="Arial" w:cs="Arial" w:eastAsia="Arial" w:hAnsi="Arial"/>
          <w:color w:val="333333"/>
          <w:sz w:val="18"/>
          <w:szCs w:val="18"/>
        </w:rPr>
        <w:t xml:space="preserve"> as mature equity positions are realized and redeployed into new facilities. Nodes that originate IP under Calls for Research earn ongoing revenue participation as that IP is deployed network-wide. Clark’s network also targets early production opportunities for industrial customers requiring runs of up to 10,000 units, focusing on products where the value lies in firmware, wiring, and casing—edge computing devices, sensor modules, and handheld instruments for tradesmen and industrial operators.</w:t>
      </w:r>
    </w:p>
    <w:p>
      <w:pPr>
        <w:pBdr>
          <w:bottom w:val="single" w:color="2E75B6" w:sz="2" w:space="1"/>
        </w:pBdr>
        <w:spacing w:before="50" w:after="0"/>
      </w:pPr>
    </w:p>
    <w:p>
      <w:pPr>
        <w:spacing w:before="40" w:after="0"/>
        <w:jc w:val="center"/>
      </w:pPr>
      <w:r>
        <w:rPr>
          <w:rFonts w:ascii="Arial" w:cs="Arial" w:eastAsia="Arial" w:hAnsi="Arial"/>
          <w:i/>
          <w:iCs/>
          <w:color w:val="555555"/>
          <w:sz w:val="14"/>
          <w:szCs w:val="14"/>
        </w:rPr>
        <w:t xml:space="preserve">Clark  ·  Electronics Assembly and Inspection Network  ·  Wilmington, Delaware</w:t>
      </w:r>
    </w:p>
    <w:p>
      <w:pPr>
        <w:sectPr>
          <w:pgSz w:w="12240" w:h="15840" w:orient="portrait"/>
          <w:pgMar w:top="900" w:right="1100" w:bottom="760" w:left="1100" w:header="708" w:footer="708" w:gutter="0"/>
          <w:pgNumType/>
          <w:docGrid w:linePitch="360"/>
        </w:sectPr>
      </w:pPr>
    </w:p>
    <w:p>
      <w:pPr>
        <w:spacing w:after="0"/>
      </w:pPr>
      <w:r>
        <w:rPr>
          <w:rFonts w:ascii="Arial" w:cs="Arial" w:eastAsia="Arial" w:hAnsi="Arial"/>
          <w:b/>
          <w:bCs/>
          <w:color w:val="1B2A4A"/>
          <w:spacing w:val="160"/>
          <w:sz w:val="36"/>
          <w:szCs w:val="36"/>
        </w:rPr>
        <w:t xml:space="preserve">CLARK</w:t>
      </w:r>
      <w:r>
        <w:rPr>
          <w:rFonts w:ascii="Arial" w:cs="Arial" w:eastAsia="Arial" w:hAnsi="Arial"/>
          <w:sz w:val="36"/>
          <w:szCs w:val="36"/>
        </w:rPr>
        <w:t xml:space="preserve">    </w:t>
      </w:r>
      <w:r>
        <w:rPr>
          <w:rFonts w:ascii="Arial" w:cs="Arial" w:eastAsia="Arial" w:hAnsi="Arial"/>
          <w:b/>
          <w:bCs/>
          <w:color w:val="2E75B6"/>
          <w:spacing w:val="40"/>
          <w:sz w:val="20"/>
          <w:szCs w:val="20"/>
        </w:rPr>
        <w:t xml:space="preserve">ANCHOR NODES  &amp;  STRUCTURAL ADVANTAGE</w:t>
      </w:r>
    </w:p>
    <w:p>
      <w:pPr>
        <w:pBdr>
          <w:bottom w:val="single" w:color="2E75B6" w:sz="5" w:space="1"/>
        </w:pBdr>
        <w:spacing w:before="80" w:after="0"/>
      </w:pPr>
    </w:p>
    <w:p>
      <w:pPr>
        <w:spacing w:before="120" w:after="40"/>
      </w:pPr>
      <w:r>
        <w:rPr>
          <w:rFonts w:ascii="Arial" w:cs="Arial" w:eastAsia="Arial" w:hAnsi="Arial"/>
          <w:b/>
          <w:bCs/>
          <w:color w:val="1B2A4A"/>
          <w:sz w:val="19"/>
          <w:szCs w:val="19"/>
        </w:rPr>
        <w:t xml:space="preserve">Niagara Assembly — Hamilton, Ontario</w:t>
      </w:r>
    </w:p>
    <w:p>
      <w:pPr>
        <w:spacing w:before="0" w:after="50" w:line="248"/>
      </w:pPr>
      <w:r>
        <w:rPr>
          <w:rFonts w:ascii="Arial" w:cs="Arial" w:eastAsia="Arial" w:hAnsi="Arial"/>
          <w:color w:val="333333"/>
          <w:sz w:val="18"/>
          <w:szCs w:val="18"/>
        </w:rPr>
        <w:t xml:space="preserve">Niagara Assembly is the network’s founding node and primary R&amp;D engine, located on Clark Avenue in Hamilton’s Keith neighbourhood, near Hamilton Central Business Park, which offers rapid expansion opportunities. Hamilton’s position within the Toronto-Waterloo engineering corridor provides direct access to Canada’s deepest talent pool in embedded systems, electrical engineering, and computer science. Niagara Assembly recruits directly from the University of Waterloo’s co-op programs, McMaster University’s Engineering faculty, and the University of Toronto’s ECE department, while actively promoting to hardware startups emerging from those ecosystems. Niagara Assembly performs the advanced firmware optimization and assembly process development that populates Clark’s IP portfolio, and leads development of the network’s Theia-based software tooling. As a Canadian-controlled private corporation, it claims SR&amp;ED credits on qualifying R&amp;D and is eligible for NRC IRAP, FedDev Ontario, and the Hamilton ERASE Community Improvement Plan.</w:t>
      </w:r>
    </w:p>
    <w:p>
      <w:pPr>
        <w:spacing w:before="140" w:after="40"/>
      </w:pPr>
      <w:r>
        <w:rPr>
          <w:rFonts w:ascii="Arial" w:cs="Arial" w:eastAsia="Arial" w:hAnsi="Arial"/>
          <w:b/>
          <w:bCs/>
          <w:color w:val="1B2A4A"/>
          <w:sz w:val="19"/>
          <w:szCs w:val="19"/>
        </w:rPr>
        <w:t xml:space="preserve">Buffalo Assembly — East Side Buffalo, New York</w:t>
      </w:r>
    </w:p>
    <w:p>
      <w:pPr>
        <w:spacing w:before="0" w:after="50" w:line="248"/>
      </w:pPr>
      <w:r>
        <w:rPr>
          <w:rFonts w:ascii="Arial" w:cs="Arial" w:eastAsia="Arial" w:hAnsi="Arial"/>
          <w:color w:val="333333"/>
          <w:sz w:val="18"/>
          <w:szCs w:val="18"/>
        </w:rPr>
        <w:t xml:space="preserve">Buffalo Assembly is the network’s American anchor, planned for the Buffalo China Center at 75 Hayes Place—a building with manufacturing heritage dating to 1901—with 20 Cornelia Street also under study as a potential base. IP is licensed from Clark (a Delaware entity), creating a clean domestic structure with no foreign ownership complications under DCSA’s FOCI framework. Buffalo benefits from NYPA hydropower rates among the lowest in the nation, proximity to the University at Buffalo’s engineering programs, and alignment with Buffalo’s East Side revitalization priorities. </w:t>
      </w:r>
      <w:r>
        <w:rPr>
          <w:rFonts w:ascii="Arial" w:cs="Arial" w:eastAsia="Arial" w:hAnsi="Arial"/>
          <w:b/>
          <w:bCs/>
          <w:color w:val="333333"/>
          <w:sz w:val="18"/>
          <w:szCs w:val="18"/>
        </w:rPr>
        <w:t xml:space="preserve">Dunkirk, New York</w:t>
      </w:r>
      <w:r>
        <w:rPr>
          <w:rFonts w:ascii="Arial" w:cs="Arial" w:eastAsia="Arial" w:hAnsi="Arial"/>
          <w:color w:val="333333"/>
          <w:sz w:val="18"/>
          <w:szCs w:val="18"/>
        </w:rPr>
        <w:t xml:space="preserve"> is flagged as the network’s primary American storage and shipping hub, with Interstate 90 and Norfolk Southern/CSX rail connectivity, achieving rural economic development in Chautauqua County consistent with Upstate New York policy objectives.</w:t>
      </w:r>
    </w:p>
    <w:p>
      <w:pPr>
        <w:spacing w:before="140" w:after="40"/>
      </w:pPr>
      <w:r>
        <w:rPr>
          <w:rFonts w:ascii="Arial" w:cs="Arial" w:eastAsia="Arial" w:hAnsi="Arial"/>
          <w:b/>
          <w:bCs/>
          <w:color w:val="1B2A4A"/>
          <w:sz w:val="19"/>
          <w:szCs w:val="19"/>
        </w:rPr>
        <w:t xml:space="preserve">Workforce Housing</w:t>
      </w:r>
    </w:p>
    <w:p>
      <w:pPr>
        <w:spacing w:before="0" w:after="50" w:line="248"/>
      </w:pPr>
      <w:r>
        <w:rPr>
          <w:rFonts w:ascii="Arial" w:cs="Arial" w:eastAsia="Arial" w:hAnsi="Arial"/>
          <w:color w:val="333333"/>
          <w:sz w:val="18"/>
          <w:szCs w:val="18"/>
        </w:rPr>
        <w:t xml:space="preserve">The inner-city and rural areas Clark targets share a common asset: property values drastically lower than regional averages. Clark intends to partner with locally motivated investors to develop housing around its facilities in a campus-style configuration, supporting young workers and families relocating for production roles, as well as temporary accommodations for visiting students, trainees, and technical experts. This transforms affordability from a symptom of disinvestment into a strategic advantage.</w:t>
      </w:r>
    </w:p>
    <w:p>
      <w:pPr>
        <w:spacing w:before="140" w:after="40"/>
      </w:pPr>
      <w:r>
        <w:rPr>
          <w:rFonts w:ascii="Arial" w:cs="Arial" w:eastAsia="Arial" w:hAnsi="Arial"/>
          <w:b/>
          <w:bCs/>
          <w:color w:val="1B2A4A"/>
          <w:sz w:val="19"/>
          <w:szCs w:val="19"/>
        </w:rPr>
        <w:t xml:space="preserve">Defensibility and Competitive Position</w:t>
      </w:r>
    </w:p>
    <w:p>
      <w:pPr>
        <w:spacing w:before="0" w:after="50" w:line="248"/>
      </w:pPr>
      <w:r>
        <w:rPr>
          <w:rFonts w:ascii="Arial" w:cs="Arial" w:eastAsia="Arial" w:hAnsi="Arial"/>
          <w:color w:val="333333"/>
          <w:sz w:val="18"/>
          <w:szCs w:val="18"/>
        </w:rPr>
        <w:t xml:space="preserve">Clark’s moat is the integration of capabilities that individually have competitors but collectively have none, delivered through a networked model with shared software infrastructure. Each new node expands the network’s capability coverage without requiring existing nodes to scale beyond their optimal size. A single client engagement can draw on assembly in one city, firmware expertise in another, and distribution from a third. The broader vision for the Niagara Peninsula positions Clark nodes in villages and smaller cities with light industrial jobs that address unemployment without requiring heavy schooling burdens—a model for accessible workforce development that these regions urgently need.</w:t>
      </w:r>
    </w:p>
    <w:p>
      <w:pPr>
        <w:spacing w:before="140" w:after="40"/>
      </w:pPr>
      <w:r>
        <w:rPr>
          <w:rFonts w:ascii="Arial" w:cs="Arial" w:eastAsia="Arial" w:hAnsi="Arial"/>
          <w:b/>
          <w:bCs/>
          <w:color w:val="1B2A4A"/>
          <w:sz w:val="19"/>
          <w:szCs w:val="19"/>
        </w:rPr>
        <w:t xml:space="preserve">The Reindustrialization Tailwind</w:t>
      </w:r>
    </w:p>
    <w:p>
      <w:pPr>
        <w:spacing w:before="0" w:after="50" w:line="248"/>
      </w:pPr>
      <w:r>
        <w:rPr>
          <w:rFonts w:ascii="Arial" w:cs="Arial" w:eastAsia="Arial" w:hAnsi="Arial"/>
          <w:color w:val="333333"/>
          <w:sz w:val="18"/>
          <w:szCs w:val="18"/>
        </w:rPr>
        <w:t xml:space="preserve">The Reshoring Initiative reports 244,000 U.S. manufacturing jobs announced in 2024, with 88% in high-tech sectors and computer &amp; electronics leading all industries. Yet workforce constraints remain the binding limitation on further growth. Clark’s training pillar addresses this directly: IPC-A-610 and J-STD-001 certifications can be completed in days to weeks—not semesters or years—supported by a pipeline of learning with extreme depth and an atmosphere more akin to a college campus than a factory floor. The CHIPS and Science Act, Canada’s Critical Technology Strategy, START-UP NY, and Ontario’s SR&amp;ED and IRAP programs all create aligned incentive structures. Clark is infrastructure for the reindustrialization of North American precision electronics manufacturing.</w:t>
      </w:r>
    </w:p>
    <w:p>
      <w:pPr>
        <w:pBdr>
          <w:bottom w:val="single" w:color="2E75B6" w:sz="2" w:space="1"/>
        </w:pBdr>
        <w:spacing w:before="50" w:after="0"/>
      </w:pPr>
    </w:p>
    <w:p>
      <w:pPr>
        <w:spacing w:before="40" w:after="0"/>
        <w:jc w:val="center"/>
      </w:pPr>
      <w:r>
        <w:rPr>
          <w:rFonts w:ascii="Arial" w:cs="Arial" w:eastAsia="Arial" w:hAnsi="Arial"/>
          <w:i/>
          <w:iCs/>
          <w:color w:val="555555"/>
          <w:sz w:val="14"/>
          <w:szCs w:val="14"/>
        </w:rPr>
        <w:t xml:space="preserve">Clark  ·  Electronics Assembly and Inspection Network  ·  Wilmington, Delaware</w:t>
      </w:r>
    </w:p>
    <w:sectPr>
      <w:pgSz w:w="12240" w:h="15840" w:orient="portrait"/>
      <w:pgMar w:top="900" w:right="1100" w:bottom="76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2026-03-20T06:49:34.998Z</dcterms:created>
  <dcterms:modified xsi:type="dcterms:W3CDTF">2026-03-20T06:49:34.998Z</dcterms:modified>
</cp:coreProperties>
</file>

<file path=docProps/custom.xml><?xml version="1.0" encoding="utf-8"?>
<Properties xmlns="http://schemas.openxmlformats.org/officeDocument/2006/custom-properties" xmlns:vt="http://schemas.openxmlformats.org/officeDocument/2006/docPropsVTypes"/>
</file>