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widowControl/>
      </w:pPr>
      <w:r>
        <w:t>Architecture NiakVIO — Provider v3</w:t>
      </w:r>
    </w:p>
    <w:p>
      <w:pPr>
        <w:spacing w:after="100"/>
        <w:widowControl/>
      </w:pPr>
      <w:r>
        <w:rPr>
          <w:color w:val="5684BE"/>
          <w:sz w:val="14"/>
        </w:rPr>
        <w:t>━━━━━━━━━━━━━━━━━━━━━━━━━━━━━━━━━━━━━━━━━━━━</w:t>
      </w:r>
    </w:p>
    <w:p>
      <w:pPr>
        <w:pStyle w:val="QuoteNote"/>
        <w:shd w:fill="F7F9FC"/>
        <w:pBdr>
          <w:top w:val="single" w:sz="4" w:space="4" w:color="DCE4F0"/>
          <w:left w:val="single" w:sz="4" w:space="4" w:color="DCE4F0"/>
          <w:bottom w:val="single" w:sz="4" w:space="4" w:color="DCE4F0"/>
          <w:right w:val="single" w:sz="4" w:space="4" w:color="DCE4F0"/>
        </w:pBdr>
        <w:widowControl/>
      </w:pPr>
      <w:r>
        <w:rPr>
          <w:rFonts w:ascii="Liberation Sans" w:hAnsi="Liberation Sans"/>
        </w:rPr>
        <w:t>Source de vérité technique humaine. Les états de run, branches temporaires et métriques de disponibilité ne sont pas des invariants d’architecture et ne doivent pas être figés ici.</w:t>
      </w:r>
    </w:p>
    <w:p>
      <w:pPr>
        <w:pStyle w:val="Heading1"/>
        <w:widowControl/>
      </w:pPr>
      <w:r>
        <w:t>1. Modèle</w:t>
      </w:r>
    </w:p>
    <w:p>
      <w:pPr>
        <w:keepNext/>
        <w:widowControl/>
      </w:pPr>
      <w:r>
        <w:rPr>
          <w:rFonts w:ascii="Liberation Sans" w:hAnsi="Liberation Sans"/>
        </w:rPr>
        <w:t>NiakVIO sépare trois responsabilités :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  <w:b/>
        </w:rPr>
        <w:t>Provider Object</w:t>
      </w:r>
      <w:r>
        <w:rPr>
          <w:rFonts w:ascii="Liberation Sans" w:hAnsi="Liberation Sans"/>
        </w:rPr>
        <w:t xml:space="preserve"> : identité, capacité canonique, DATA, routes/protocole, stratégie, preuves et provenance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  <w:b/>
        </w:rPr>
        <w:t>NiakVIO</w:t>
      </w:r>
      <w:r>
        <w:rPr>
          <w:rFonts w:ascii="Liberation Sans" w:hAnsi="Liberation Sans"/>
        </w:rPr>
        <w:t xml:space="preserve"> : reconnaissance, composition, vérification, Learning et publication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  <w:b/>
        </w:rPr>
        <w:t>clients Nuvio officiels</w:t>
      </w:r>
      <w:r>
        <w:rPr>
          <w:rFonts w:ascii="Liberation Sans" w:hAnsi="Liberation Sans"/>
        </w:rPr>
        <w:t xml:space="preserve"> : surfaces d’exécution et de preuve par plateforme.</w:t>
      </w:r>
    </w:p>
    <w:p>
      <w:pPr>
        <w:widowControl/>
      </w:pPr>
      <w:r>
        <w:rPr>
          <w:rFonts w:ascii="Liberation Sans" w:hAnsi="Liberation Sans"/>
        </w:rPr>
        <w:t xml:space="preserve">Le catalogue de travail couvre </w:t>
      </w:r>
      <w:r>
        <w:rPr>
          <w:rFonts w:ascii="Liberation Sans" w:hAnsi="Liberation Sans"/>
          <w:b/>
        </w:rPr>
        <w:t>les 96 Provider Objects</w:t>
      </w:r>
      <w:r>
        <w:rPr>
          <w:rFonts w:ascii="Liberation Sans" w:hAnsi="Liberation Sans"/>
        </w:rPr>
        <w:t>, providers désactivés compris. Un zéro flux, une route inconnue ou un stream cassé ne suffit jamais à déclarer un provider mort.</w:t>
      </w:r>
    </w:p>
    <w:p>
      <w:pPr>
        <w:pStyle w:val="Heading1"/>
        <w:widowControl/>
      </w:pPr>
      <w:r>
        <w:t>2. Source de vérité Provider v3</w:t>
      </w:r>
    </w:p>
    <w:p>
      <w:pPr>
        <w:keepNext/>
        <w:widowControl/>
      </w:pPr>
      <w:r>
        <w:rPr>
          <w:rFonts w:ascii="Liberation Sans" w:hAnsi="Liberation Sans"/>
        </w:rPr>
        <w:t>Un bundle publié est reconstruit depuis :</w:t>
      </w:r>
    </w:p>
    <w:p>
      <w:pPr>
        <w:ind w:left="317" w:hanging="259"/>
        <w:widowControl/>
      </w:pPr>
      <w:r>
        <w:rPr>
          <w:b/>
        </w:rPr>
        <w:t xml:space="preserve">1. </w:t>
      </w:r>
      <w:r>
        <w:rPr>
          <w:rFonts w:ascii="Liberation Sans" w:hAnsi="Liberation Sans"/>
        </w:rPr>
        <w:t>ProviderBase v3 propre ;</w:t>
      </w:r>
    </w:p>
    <w:p>
      <w:pPr>
        <w:ind w:left="317" w:hanging="259"/>
        <w:widowControl/>
      </w:pPr>
      <w:r>
        <w:rPr>
          <w:b/>
        </w:rPr>
        <w:t xml:space="preserve">2. </w:t>
      </w:r>
      <w:r>
        <w:rPr>
          <w:rFonts w:ascii="Liberation Sans" w:hAnsi="Liberation Sans"/>
        </w:rPr>
        <w:t>DATA structurée appartenant au provider ;</w:t>
      </w:r>
    </w:p>
    <w:p>
      <w:pPr>
        <w:ind w:left="317" w:hanging="259"/>
        <w:widowControl/>
      </w:pPr>
      <w:r>
        <w:rPr>
          <w:b/>
        </w:rPr>
        <w:t xml:space="preserve">3. </w:t>
      </w:r>
      <w:r>
        <w:rPr>
          <w:rFonts w:ascii="Liberation Sans" w:hAnsi="Liberation Sans"/>
        </w:rPr>
        <w:t xml:space="preserve">Lego </w:t>
      </w:r>
      <w:r>
        <w:rPr>
          <w:rFonts w:ascii="Liberation Mono" w:hAnsi="Liberation Mono"/>
          <w:color w:val="2D4670"/>
          <w:sz w:val="16"/>
        </w:rPr>
        <w:t>PROVIDER.*</w:t>
      </w:r>
      <w:r>
        <w:rPr>
          <w:rFonts w:ascii="Liberation Sans" w:hAnsi="Liberation Sans"/>
        </w:rPr>
        <w:t xml:space="preserve"> ;</w:t>
      </w:r>
    </w:p>
    <w:p>
      <w:pPr>
        <w:ind w:left="317" w:hanging="259"/>
        <w:widowControl/>
      </w:pPr>
      <w:r>
        <w:rPr>
          <w:b/>
        </w:rPr>
        <w:t xml:space="preserve">4. </w:t>
      </w:r>
      <w:r>
        <w:rPr>
          <w:rFonts w:ascii="Liberation Sans" w:hAnsi="Liberation Sans"/>
        </w:rPr>
        <w:t xml:space="preserve">Lego </w:t>
      </w:r>
      <w:r>
        <w:rPr>
          <w:rFonts w:ascii="Liberation Mono" w:hAnsi="Liberation Mono"/>
          <w:color w:val="2D4670"/>
          <w:sz w:val="16"/>
        </w:rPr>
        <w:t>CORE.*</w:t>
      </w:r>
      <w:r>
        <w:rPr>
          <w:rFonts w:ascii="Liberation Sans" w:hAnsi="Liberation Sans"/>
        </w:rPr>
        <w:t xml:space="preserve"> ;</w:t>
      </w:r>
    </w:p>
    <w:p>
      <w:pPr>
        <w:ind w:left="317" w:hanging="259"/>
        <w:widowControl/>
      </w:pPr>
      <w:r>
        <w:rPr>
          <w:b/>
        </w:rPr>
        <w:t xml:space="preserve">5. </w:t>
      </w:r>
      <w:r>
        <w:rPr>
          <w:rFonts w:ascii="Liberation Sans" w:hAnsi="Liberation Sans"/>
        </w:rPr>
        <w:t>minimizer NiakVIO conservateur avant hash.</w:t>
      </w:r>
    </w:p>
    <w:p>
      <w:pPr>
        <w:keepNext/>
        <w:widowControl/>
      </w:pPr>
      <w:r>
        <w:rPr>
          <w:rFonts w:ascii="Liberation Sans" w:hAnsi="Liberation Sans"/>
        </w:rPr>
        <w:t>Sources principales :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provider_catalog.json</w:t>
      </w:r>
      <w:r>
        <w:rPr>
          <w:rFonts w:ascii="Liberation Sans" w:hAnsi="Liberation Sans"/>
        </w:rPr>
        <w:t xml:space="preserve">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provider-bases/</w:t>
      </w:r>
      <w:r>
        <w:rPr>
          <w:rFonts w:ascii="Liberation Sans" w:hAnsi="Liberation Sans"/>
        </w:rPr>
        <w:t xml:space="preserve">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provider-overrides.json</w:t>
      </w:r>
      <w:r>
        <w:rPr>
          <w:rFonts w:ascii="Liberation Sans" w:hAnsi="Liberation Sans"/>
        </w:rPr>
        <w:t xml:space="preserve">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provider-type-policy.json</w:t>
      </w:r>
      <w:r>
        <w:rPr>
          <w:rFonts w:ascii="Liberation Sans" w:hAnsi="Liberation Sans"/>
        </w:rPr>
        <w:t xml:space="preserve">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automation/provider-v3-static-knowledge.json</w:t>
      </w:r>
      <w:r>
        <w:rPr>
          <w:rFonts w:ascii="Liberation Sans" w:hAnsi="Liberation Sans"/>
        </w:rPr>
        <w:t xml:space="preserve">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scripts/provider_patches/**</w:t>
      </w:r>
      <w:r>
        <w:rPr>
          <w:rFonts w:ascii="Liberation Sans" w:hAnsi="Liberation Sans"/>
        </w:rPr>
        <w:t xml:space="preserve">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scripts/provider_v3_minimizer.py</w:t>
      </w:r>
      <w:r>
        <w:rPr>
          <w:rFonts w:ascii="Liberation Sans" w:hAnsi="Liberation Sans"/>
        </w:rPr>
        <w:t>.</w:t>
      </w:r>
    </w:p>
    <w:p>
      <w:pPr>
        <w:widowControl/>
      </w:pPr>
      <w:r>
        <w:rPr>
          <w:rFonts w:ascii="Liberation Mono" w:hAnsi="Liberation Mono"/>
          <w:color w:val="2D4670"/>
          <w:sz w:val="16"/>
        </w:rPr>
        <w:t>providers/*.js</w:t>
      </w:r>
      <w:r>
        <w:rPr>
          <w:rFonts w:ascii="Liberation Sans" w:hAnsi="Liberation Sans"/>
        </w:rPr>
        <w:t xml:space="preserve"> est une </w:t>
      </w:r>
      <w:r>
        <w:rPr>
          <w:rFonts w:ascii="Liberation Sans" w:hAnsi="Liberation Sans"/>
          <w:b/>
        </w:rPr>
        <w:t>sortie runtime adressée par contenu</w:t>
      </w:r>
      <w:r>
        <w:rPr>
          <w:rFonts w:ascii="Liberation Sans" w:hAnsi="Liberation Sans"/>
        </w:rPr>
        <w:t>, jamais une seed de reconstruction. Les bundles historiques/upstream servent uniquement de connaissance et de provenance.</w:t>
      </w:r>
    </w:p>
    <w:p>
      <w:pPr>
        <w:widowControl/>
      </w:pPr>
      <w:r>
        <w:rPr>
          <w:rFonts w:ascii="Liberation Sans" w:hAnsi="Liberation Sans"/>
        </w:rPr>
        <w:t xml:space="preserve">Le ProviderBase canonique porte </w:t>
      </w:r>
      <w:r>
        <w:rPr>
          <w:rFonts w:ascii="Liberation Mono" w:hAnsi="Liberation Mono"/>
          <w:color w:val="2D4670"/>
          <w:sz w:val="16"/>
        </w:rPr>
        <w:t>NIAKVIO_PROVIDER_BASE_OWNED_V3</w:t>
      </w:r>
      <w:r>
        <w:rPr>
          <w:rFonts w:ascii="Liberation Sans" w:hAnsi="Liberation Sans"/>
        </w:rPr>
        <w:t>.</w:t>
      </w:r>
    </w:p>
    <w:p>
      <w:pPr>
        <w:pStyle w:val="Heading1"/>
        <w:widowControl/>
      </w:pPr>
      <w:r>
        <w:t>3. Envelope et ownership</w:t>
      </w:r>
    </w:p>
    <w:p>
      <w:pPr>
        <w:keepNext/>
        <w:widowControl/>
      </w:pPr>
      <w:r>
        <w:rPr>
          <w:rFonts w:ascii="Liberation Sans" w:hAnsi="Liberation Sans"/>
        </w:rPr>
        <w:t>Forme attendue :</w:t>
      </w:r>
    </w:p>
    <w:p>
      <w:pPr>
        <w:pStyle w:val="CodeBlock"/>
        <w:shd w:fill="F4F7FB"/>
        <w:pBdr>
          <w:top w:val="single" w:sz="4" w:space="4" w:color="D7DFEE"/>
          <w:left w:val="single" w:sz="4" w:space="4" w:color="D7DFEE"/>
          <w:bottom w:val="single" w:sz="4" w:space="4" w:color="D7DFEE"/>
          <w:right w:val="single" w:sz="4" w:space="4" w:color="D7DFEE"/>
        </w:pBdr>
        <w:widowControl/>
      </w:pPr>
      <w:r>
        <w:t>/* BEGIN NIAKVIO_PROVIDER */</w:t>
        <w:br/>
        <w:t>/* NIAKVIO_PROVIDER_ID:&lt;id&gt; */</w:t>
        <w:br/>
        <w:t>/* NIAKVIO_PROVIDER_BASE_OWNED_V3 */</w:t>
        <w:br/>
        <w:t>&lt;ProviderBase v3&gt;</w:t>
        <w:br/>
        <w:br/>
        <w:t>/* STARTFIX:PROVIDER.&lt;ID&gt;.CONFIG.V1 */</w:t>
        <w:br/>
        <w:t>/* FIXDATA:PROVIDER.&lt;ID&gt;.CONFIG.V1:&lt;payload&gt; */</w:t>
        <w:br/>
        <w:t>&lt;DATA&gt;</w:t>
        <w:br/>
        <w:t>/* CLOSEFIX:PROVIDER.&lt;ID&gt;.CONFIG.V1 */</w:t>
        <w:br/>
        <w:br/>
        <w:t>&lt;Lego PROVIDER.*&gt;</w:t>
        <w:br/>
        <w:t>/* NUVIO_GLOBAL_CORE_START_BOUNDARY_V1 */</w:t>
        <w:br/>
        <w:t>&lt;Lego CORE.*&gt;</w:t>
        <w:br/>
        <w:t>/* END NIAKVIO_PROVIDER */</w:t>
      </w:r>
    </w:p>
    <w:p>
      <w:pPr>
        <w:widowControl/>
      </w:pPr>
      <w:r>
        <w:rPr>
          <w:rFonts w:ascii="Liberation Sans" w:hAnsi="Liberation Sans"/>
        </w:rPr>
        <w:t xml:space="preserve">Les marqueurs canoniques sont </w:t>
      </w:r>
      <w:r>
        <w:rPr>
          <w:rFonts w:ascii="Liberation Mono" w:hAnsi="Liberation Mono"/>
          <w:color w:val="2D4670"/>
          <w:sz w:val="16"/>
        </w:rPr>
        <w:t>STARTFIX:&lt;ID&gt;</w:t>
      </w:r>
      <w:r>
        <w:rPr>
          <w:rFonts w:ascii="Liberation Sans" w:hAnsi="Liberation Sans"/>
        </w:rPr>
        <w:t xml:space="preserve"> et </w:t>
      </w:r>
      <w:r>
        <w:rPr>
          <w:rFonts w:ascii="Liberation Mono" w:hAnsi="Liberation Mono"/>
          <w:color w:val="2D4670"/>
          <w:sz w:val="16"/>
        </w:rPr>
        <w:t>CLOSEFIX:&lt;ID&gt;</w:t>
      </w:r>
      <w:r>
        <w:rPr>
          <w:rFonts w:ascii="Liberation Sans" w:hAnsi="Liberation Sans"/>
        </w:rPr>
        <w:t xml:space="preserve">, avec </w:t>
      </w:r>
      <w:r>
        <w:rPr>
          <w:rFonts w:ascii="Liberation Mono" w:hAnsi="Liberation Mono"/>
          <w:color w:val="2D4670"/>
          <w:sz w:val="16"/>
        </w:rPr>
        <w:t>FIXDATA:&lt;ID&gt;</w:t>
      </w:r>
      <w:r>
        <w:rPr>
          <w:rFonts w:ascii="Liberation Sans" w:hAnsi="Liberation Sans"/>
        </w:rPr>
        <w:t xml:space="preserve"> lorsque nécessaire. La frontière Core </w:t>
      </w:r>
      <w:r>
        <w:rPr>
          <w:rFonts w:ascii="Liberation Mono" w:hAnsi="Liberation Mono"/>
          <w:color w:val="2D4670"/>
          <w:sz w:val="16"/>
        </w:rPr>
        <w:t>NUVIO_GLOBAL_CORE_START_BOUNDARY_V1</w:t>
      </w:r>
      <w:r>
        <w:rPr>
          <w:rFonts w:ascii="Liberation Sans" w:hAnsi="Liberation Sans"/>
        </w:rPr>
        <w:t xml:space="preserve"> est unique.</w:t>
      </w:r>
    </w:p>
    <w:p>
      <w:pPr>
        <w:pStyle w:val="Heading1"/>
        <w:widowControl/>
      </w:pPr>
      <w:r>
        <w:t>4. Routes et protocoles</w:t>
      </w:r>
    </w:p>
    <w:p>
      <w:pPr>
        <w:keepNext/>
        <w:widowControl/>
      </w:pPr>
      <w:r>
        <w:rPr>
          <w:rFonts w:ascii="Liberation Sans" w:hAnsi="Liberation Sans"/>
        </w:rPr>
        <w:t>La route durable appartient au Provider Object :</w:t>
      </w:r>
    </w:p>
    <w:p>
      <w:pPr>
        <w:pStyle w:val="CodeBlock"/>
        <w:shd w:fill="F4F7FB"/>
        <w:pBdr>
          <w:top w:val="single" w:sz="4" w:space="4" w:color="D7DFEE"/>
          <w:left w:val="single" w:sz="4" w:space="4" w:color="D7DFEE"/>
          <w:bottom w:val="single" w:sz="4" w:space="4" w:color="D7DFEE"/>
          <w:right w:val="single" w:sz="4" w:space="4" w:color="D7DFEE"/>
        </w:pBdr>
        <w:widowControl/>
      </w:pPr>
      <w:r>
        <w:t>provider.model.routeData</w:t>
      </w:r>
    </w:p>
    <w:p>
      <w:pPr>
        <w:widowControl/>
      </w:pPr>
      <w:r>
        <w:rPr>
          <w:rFonts w:ascii="Liberation Mono" w:hAnsi="Liberation Mono"/>
          <w:color w:val="2D4670"/>
          <w:sz w:val="16"/>
        </w:rPr>
        <w:t>provider.model.routes</w:t>
      </w:r>
      <w:r>
        <w:rPr>
          <w:rFonts w:ascii="Liberation Sans" w:hAnsi="Liberation Sans"/>
        </w:rPr>
        <w:t xml:space="preserve"> et </w:t>
      </w:r>
      <w:r>
        <w:rPr>
          <w:rFonts w:ascii="Liberation Mono" w:hAnsi="Liberation Mono"/>
          <w:color w:val="2D4670"/>
          <w:sz w:val="16"/>
        </w:rPr>
        <w:t>provider.knowledge.recognizedContract.requests</w:t>
      </w:r>
      <w:r>
        <w:rPr>
          <w:rFonts w:ascii="Liberation Sans" w:hAnsi="Liberation Sans"/>
        </w:rPr>
        <w:t xml:space="preserve"> sont des projections dérivées, pas de nouvelles sources de preuve.</w:t>
      </w:r>
    </w:p>
    <w:p>
      <w:pPr>
        <w:widowControl/>
      </w:pPr>
      <w:r>
        <w:rPr>
          <w:rFonts w:ascii="Liberation Sans" w:hAnsi="Liberation Sans"/>
        </w:rPr>
        <w:t xml:space="preserve">La reconnaissance doit conserver quand ils sont connus : méthode HTTP, rôle, body/encodage, champs, </w:t>
      </w:r>
      <w:r>
        <w:rPr>
          <w:rFonts w:ascii="Liberation Mono" w:hAnsi="Liberation Mono"/>
          <w:color w:val="2D4670"/>
          <w:sz w:val="16"/>
        </w:rPr>
        <w:t>Referer</w:t>
      </w:r>
      <w:r>
        <w:rPr>
          <w:rFonts w:ascii="Liberation Sans" w:hAnsi="Liberation Sans"/>
        </w:rPr>
        <w:t>/</w:t>
      </w:r>
      <w:r>
        <w:rPr>
          <w:rFonts w:ascii="Liberation Mono" w:hAnsi="Liberation Mono"/>
          <w:color w:val="2D4670"/>
          <w:sz w:val="16"/>
        </w:rPr>
        <w:t>Origin</w:t>
      </w:r>
      <w:r>
        <w:rPr>
          <w:rFonts w:ascii="Liberation Sans" w:hAnsi="Liberation Sans"/>
        </w:rPr>
        <w:t>, type de réponse, placeholders, provenance et confiance. Elle peut analyser statiquement concaténations, variables et templates, sans exécuter le JavaScript provider.</w:t>
      </w:r>
    </w:p>
    <w:p>
      <w:pPr>
        <w:widowControl/>
      </w:pPr>
      <w:r>
        <w:rPr>
          <w:rFonts w:ascii="Liberation Sans" w:hAnsi="Liberation Sans"/>
        </w:rPr>
        <w:t xml:space="preserve">Le workflow route-only est </w:t>
      </w:r>
      <w:r>
        <w:rPr>
          <w:rFonts w:ascii="Liberation Mono" w:hAnsi="Liberation Mono"/>
          <w:color w:val="2D4670"/>
          <w:sz w:val="16"/>
        </w:rPr>
        <w:t>.github/workflows/provider-v3-reconstruct-routes.yml</w:t>
      </w:r>
      <w:r>
        <w:rPr>
          <w:rFonts w:ascii="Liberation Sans" w:hAnsi="Liberation Sans"/>
        </w:rPr>
        <w:t xml:space="preserve">. Il ne doit ni exécuter le provider JS ni reconstruire les 96 bundles. Une absence de route reconnue reste un état </w:t>
      </w:r>
      <w:r>
        <w:rPr>
          <w:rFonts w:ascii="Liberation Sans" w:hAnsi="Liberation Sans"/>
          <w:b/>
        </w:rPr>
        <w:t>unknown</w:t>
      </w:r>
      <w:r>
        <w:rPr>
          <w:rFonts w:ascii="Liberation Sans" w:hAnsi="Liberation Sans"/>
        </w:rPr>
        <w:t>, pas une quarantaine automatique.</w:t>
      </w:r>
    </w:p>
    <w:p>
      <w:pPr>
        <w:widowControl/>
      </w:pPr>
      <w:r>
        <w:rPr>
          <w:rFonts w:ascii="Liberation Sans" w:hAnsi="Liberation Sans"/>
        </w:rPr>
        <w:t xml:space="preserve">Les métriques d’un census précis restent dans les artifacts/rapports et dans </w:t>
      </w:r>
      <w:r>
        <w:rPr>
          <w:rFonts w:ascii="Liberation Mono" w:hAnsi="Liberation Mono"/>
          <w:color w:val="2D4670"/>
          <w:sz w:val="16"/>
        </w:rPr>
        <w:t>automation/provider-v3-architecture.json</w:t>
      </w:r>
      <w:r>
        <w:rPr>
          <w:rFonts w:ascii="Liberation Sans" w:hAnsi="Liberation Sans"/>
        </w:rPr>
        <w:t xml:space="preserve"> lorsqu’une référence vérifiée est utile ; elles ne sont pas un invariant documentaire.</w:t>
      </w:r>
    </w:p>
    <w:p>
      <w:pPr>
        <w:pStyle w:val="Heading1"/>
        <w:widowControl/>
      </w:pPr>
      <w:r>
        <w:t>5. Type canonique ≠ transport Nuvio</w:t>
      </w:r>
    </w:p>
    <w:p>
      <w:pPr>
        <w:widowControl/>
      </w:pPr>
      <w:r>
        <w:rPr>
          <w:rFonts w:ascii="Liberation Sans" w:hAnsi="Liberation Sans"/>
        </w:rPr>
        <w:t>C’est un contrat central.</w:t>
      </w:r>
    </w:p>
    <w:p>
      <w:pPr>
        <w:pStyle w:val="Heading2"/>
        <w:widowControl/>
      </w:pPr>
      <w:r>
        <w:t>Capacité canonique</w:t>
      </w:r>
    </w:p>
    <w:p>
      <w:pPr>
        <w:keepNext/>
        <w:widowControl/>
      </w:pPr>
      <w:r>
        <w:rPr>
          <w:rFonts w:ascii="Liberation Mono" w:hAnsi="Liberation Mono"/>
          <w:color w:val="2D4670"/>
          <w:sz w:val="16"/>
        </w:rPr>
        <w:t>canonicalSupportedTypes</w:t>
      </w:r>
      <w:r>
        <w:rPr>
          <w:rFonts w:ascii="Liberation Sans" w:hAnsi="Liberation Sans"/>
        </w:rPr>
        <w:t xml:space="preserve"> décrit </w:t>
      </w:r>
      <w:r>
        <w:rPr>
          <w:rFonts w:ascii="Liberation Sans" w:hAnsi="Liberation Sans"/>
          <w:b/>
        </w:rPr>
        <w:t>ce que le catalogue du provider sert réellement</w:t>
      </w:r>
      <w:r>
        <w:rPr>
          <w:rFonts w:ascii="Liberation Sans" w:hAnsi="Liberation Sans"/>
        </w:rPr>
        <w:t xml:space="preserve"> :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movie</w:t>
      </w:r>
      <w:r>
        <w:rPr>
          <w:rFonts w:ascii="Liberation Sans" w:hAnsi="Liberation Sans"/>
        </w:rPr>
        <w:t xml:space="preserve">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tv</w:t>
      </w:r>
      <w:r>
        <w:rPr>
          <w:rFonts w:ascii="Liberation Sans" w:hAnsi="Liberation Sans"/>
        </w:rPr>
        <w:t xml:space="preserve">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anime</w:t>
      </w:r>
      <w:r>
        <w:rPr>
          <w:rFonts w:ascii="Liberation Sans" w:hAnsi="Liberation Sans"/>
        </w:rPr>
        <w:t>.</w:t>
      </w:r>
    </w:p>
    <w:p>
      <w:pPr>
        <w:keepNext/>
        <w:widowControl/>
      </w:pPr>
      <w:r>
        <w:rPr>
          <w:rFonts w:ascii="Liberation Sans" w:hAnsi="Liberation Sans"/>
        </w:rPr>
        <w:t>Un provider anime-only reste donc :</w:t>
      </w:r>
    </w:p>
    <w:p>
      <w:pPr>
        <w:pStyle w:val="CodeBlock"/>
        <w:shd w:fill="F4F7FB"/>
        <w:pBdr>
          <w:top w:val="single" w:sz="4" w:space="4" w:color="D7DFEE"/>
          <w:left w:val="single" w:sz="4" w:space="4" w:color="D7DFEE"/>
          <w:bottom w:val="single" w:sz="4" w:space="4" w:color="D7DFEE"/>
          <w:right w:val="single" w:sz="4" w:space="4" w:color="D7DFEE"/>
        </w:pBdr>
        <w:widowControl/>
      </w:pPr>
      <w:r>
        <w:t>{"canonicalSupportedTypes":["anime"]}</w:t>
      </w:r>
    </w:p>
    <w:p>
      <w:pPr>
        <w:pStyle w:val="Heading2"/>
        <w:widowControl/>
      </w:pPr>
      <w:r>
        <w:t>Compatibilité de lancement</w:t>
      </w:r>
    </w:p>
    <w:p>
      <w:pPr>
        <w:widowControl/>
      </w:pPr>
      <w:r>
        <w:rPr>
          <w:rFonts w:ascii="Liberation Mono" w:hAnsi="Liberation Mono"/>
          <w:color w:val="2D4670"/>
          <w:sz w:val="16"/>
        </w:rPr>
        <w:t>supportedTypes</w:t>
      </w:r>
      <w:r>
        <w:rPr>
          <w:rFonts w:ascii="Liberation Sans" w:hAnsi="Liberation Sans"/>
        </w:rPr>
        <w:t xml:space="preserve"> décrit les voies par lesquelles Nuvio peut lancer ce provider.</w:t>
      </w:r>
    </w:p>
    <w:p>
      <w:pPr>
        <w:keepNext/>
        <w:widowControl/>
      </w:pPr>
      <w:r>
        <w:rPr>
          <w:rFonts w:ascii="Liberation Sans" w:hAnsi="Liberation Sans"/>
        </w:rPr>
        <w:t>Un provider anime peut devoir accepter les trois transports :</w:t>
      </w:r>
    </w:p>
    <w:p>
      <w:pPr>
        <w:pStyle w:val="CodeBlock"/>
        <w:shd w:fill="F4F7FB"/>
        <w:pBdr>
          <w:top w:val="single" w:sz="4" w:space="4" w:color="D7DFEE"/>
          <w:left w:val="single" w:sz="4" w:space="4" w:color="D7DFEE"/>
          <w:bottom w:val="single" w:sz="4" w:space="4" w:color="D7DFEE"/>
          <w:right w:val="single" w:sz="4" w:space="4" w:color="D7DFEE"/>
        </w:pBdr>
        <w:widowControl/>
      </w:pPr>
      <w:r>
        <w:t>{"supportedTypes":["anime","tv","movie"]}</w:t>
      </w:r>
    </w:p>
    <w:p>
      <w:pPr>
        <w:keepNext/>
        <w:widowControl/>
      </w:pPr>
      <w:r>
        <w:rPr>
          <w:rFonts w:ascii="Liberation Sans" w:hAnsi="Liberation Sans"/>
        </w:rPr>
        <w:t>Cela permet :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anime épisodique via transport série/</w:t>
      </w:r>
      <w:r>
        <w:rPr>
          <w:rFonts w:ascii="Liberation Mono" w:hAnsi="Liberation Mono"/>
          <w:color w:val="2D4670"/>
          <w:sz w:val="16"/>
        </w:rPr>
        <w:t>tv</w:t>
      </w:r>
      <w:r>
        <w:rPr>
          <w:rFonts w:ascii="Liberation Sans" w:hAnsi="Liberation Sans"/>
        </w:rPr>
        <w:t xml:space="preserve">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 xml:space="preserve">film anime via transport </w:t>
      </w:r>
      <w:r>
        <w:rPr>
          <w:rFonts w:ascii="Liberation Mono" w:hAnsi="Liberation Mono"/>
          <w:color w:val="2D4670"/>
          <w:sz w:val="16"/>
        </w:rPr>
        <w:t>movie</w:t>
      </w:r>
      <w:r>
        <w:rPr>
          <w:rFonts w:ascii="Liberation Sans" w:hAnsi="Liberation Sans"/>
        </w:rPr>
        <w:t xml:space="preserve">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 xml:space="preserve">namespace </w:t>
      </w:r>
      <w:r>
        <w:rPr>
          <w:rFonts w:ascii="Liberation Mono" w:hAnsi="Liberation Mono"/>
          <w:color w:val="2D4670"/>
          <w:sz w:val="16"/>
        </w:rPr>
        <w:t>anime</w:t>
      </w:r>
      <w:r>
        <w:rPr>
          <w:rFonts w:ascii="Liberation Sans" w:hAnsi="Liberation Sans"/>
        </w:rPr>
        <w:t xml:space="preserve"> lorsqu’il est exposé par le client.</w:t>
      </w:r>
    </w:p>
    <w:p>
      <w:pPr>
        <w:widowControl/>
      </w:pPr>
      <w:r>
        <w:rPr>
          <w:rFonts w:ascii="Liberation Sans" w:hAnsi="Liberation Sans"/>
          <w:b/>
        </w:rPr>
        <w:t>Cela n’ajoute jamais une capacité canonique `movie` ou `tv`.</w:t>
      </w:r>
      <w:r>
        <w:rPr>
          <w:rFonts w:ascii="Liberation Sans" w:hAnsi="Liberation Sans"/>
        </w:rPr>
        <w:t xml:space="preserve"> Le Core doit rejeter une œuvre non-anime sur un provider anime-only après classification autoritative, avant le réseau provider lorsque l’information nécessaire est déjà disponible.</w:t>
      </w:r>
    </w:p>
    <w:p>
      <w:pPr>
        <w:widowControl/>
      </w:pPr>
      <w:r>
        <w:rPr>
          <w:rFonts w:ascii="Liberation Sans" w:hAnsi="Liberation Sans"/>
        </w:rPr>
        <w:t xml:space="preserve">Inversement, un provider canonique </w:t>
      </w:r>
      <w:r>
        <w:rPr>
          <w:rFonts w:ascii="Liberation Mono" w:hAnsi="Liberation Mono"/>
          <w:color w:val="2D4670"/>
          <w:sz w:val="16"/>
        </w:rPr>
        <w:t>movie + tv</w:t>
      </w:r>
      <w:r>
        <w:rPr>
          <w:rFonts w:ascii="Liberation Sans" w:hAnsi="Liberation Sans"/>
        </w:rPr>
        <w:t xml:space="preserve"> ne devient pas anime-compatible par simple alias de transport.</w:t>
      </w:r>
    </w:p>
    <w:p>
      <w:pPr>
        <w:widowControl/>
      </w:pPr>
      <w:r>
        <w:rPr>
          <w:rFonts w:ascii="Liberation Sans" w:hAnsi="Liberation Sans"/>
        </w:rPr>
        <w:t xml:space="preserve">Les alias </w:t>
      </w:r>
      <w:r>
        <w:rPr>
          <w:rFonts w:ascii="Liberation Mono" w:hAnsi="Liberation Mono"/>
          <w:color w:val="2D4670"/>
          <w:sz w:val="16"/>
        </w:rPr>
        <w:t>series</w:t>
      </w:r>
      <w:r>
        <w:rPr>
          <w:rFonts w:ascii="Liberation Sans" w:hAnsi="Liberation Sans"/>
        </w:rPr>
        <w:t xml:space="preserve">, </w:t>
      </w:r>
      <w:r>
        <w:rPr>
          <w:rFonts w:ascii="Liberation Mono" w:hAnsi="Liberation Mono"/>
          <w:color w:val="2D4670"/>
          <w:sz w:val="16"/>
        </w:rPr>
        <w:t>show</w:t>
      </w:r>
      <w:r>
        <w:rPr>
          <w:rFonts w:ascii="Liberation Sans" w:hAnsi="Liberation Sans"/>
        </w:rPr>
        <w:t xml:space="preserve"> et équivalents se normalisent vers la forme </w:t>
      </w:r>
      <w:r>
        <w:rPr>
          <w:rFonts w:ascii="Liberation Mono" w:hAnsi="Liberation Mono"/>
          <w:color w:val="2D4670"/>
          <w:sz w:val="16"/>
        </w:rPr>
        <w:t>tv</w:t>
      </w:r>
      <w:r>
        <w:rPr>
          <w:rFonts w:ascii="Liberation Sans" w:hAnsi="Liberation Sans"/>
        </w:rPr>
        <w:t xml:space="preserve"> du client.</w:t>
      </w:r>
    </w:p>
    <w:p>
      <w:pPr>
        <w:pStyle w:val="Heading1"/>
        <w:widowControl/>
      </w:pPr>
      <w:r>
        <w:t>6. Contrat runtime</w:t>
      </w:r>
    </w:p>
    <w:p>
      <w:pPr>
        <w:keepNext/>
        <w:widowControl/>
      </w:pPr>
      <w:r>
        <w:rPr>
          <w:rFonts w:ascii="Liberation Sans" w:hAnsi="Liberation Sans"/>
        </w:rPr>
        <w:t>Signature conceptuelle :</w:t>
      </w:r>
    </w:p>
    <w:p>
      <w:pPr>
        <w:pStyle w:val="CodeBlock"/>
        <w:shd w:fill="F4F7FB"/>
        <w:pBdr>
          <w:top w:val="single" w:sz="4" w:space="4" w:color="D7DFEE"/>
          <w:left w:val="single" w:sz="4" w:space="4" w:color="D7DFEE"/>
          <w:bottom w:val="single" w:sz="4" w:space="4" w:color="D7DFEE"/>
          <w:right w:val="single" w:sz="4" w:space="4" w:color="D7DFEE"/>
        </w:pBdr>
        <w:widowControl/>
      </w:pPr>
      <w:r>
        <w:t>getStreams(tmdbId, mediaType, season, episode)</w:t>
      </w:r>
    </w:p>
    <w:p>
      <w:pPr>
        <w:keepNext/>
        <w:widowControl/>
      </w:pPr>
      <w:r>
        <w:rPr>
          <w:rFonts w:ascii="Liberation Sans" w:hAnsi="Liberation Sans"/>
        </w:rPr>
        <w:t>Ordre logique :</w:t>
      </w:r>
    </w:p>
    <w:p>
      <w:pPr>
        <w:pStyle w:val="CodeBlock"/>
        <w:shd w:fill="F4F7FB"/>
        <w:pBdr>
          <w:top w:val="single" w:sz="4" w:space="4" w:color="D7DFEE"/>
          <w:left w:val="single" w:sz="4" w:space="4" w:color="D7DFEE"/>
          <w:bottom w:val="single" w:sz="4" w:space="4" w:color="D7DFEE"/>
          <w:right w:val="single" w:sz="4" w:space="4" w:color="D7DFEE"/>
        </w:pBdr>
        <w:widowControl/>
      </w:pPr>
      <w:r>
        <w:t>BEGIN PROVIDER</w:t>
        <w:br/>
        <w:t xml:space="preserve">  gate launch/capacité</w:t>
        <w:br/>
        <w:t xml:space="preserve">  résoudre l'identité/TMDB uniquement si le plan en a besoin</w:t>
        <w:br/>
        <w:t xml:space="preserve">  exécuter le protocole provider</w:t>
        <w:br/>
        <w:t xml:space="preserve">  si streams &gt; 0</w:t>
        <w:br/>
        <w:t xml:space="preserve">    appliquer identité, présentation, branding et sanitizer</w:t>
        <w:br/>
        <w:t xml:space="preserve">  endif</w:t>
        <w:br/>
        <w:t>END PROVIDER</w:t>
      </w:r>
    </w:p>
    <w:p>
      <w:pPr>
        <w:keepNext/>
        <w:widowControl/>
      </w:pPr>
      <w:r>
        <w:rPr>
          <w:rFonts w:ascii="Liberation Sans" w:hAnsi="Liberation Sans"/>
        </w:rPr>
        <w:t>Règles :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gate capacité avant réseau provider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pas d’appel TMDB gratuit quand le plan n’en a pas besoin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cache TMDB scoped par œuvre/type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saison/épisode conservés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zéro flux ne fabrique rien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mauvais média &gt; zéro résultat en gravité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erreur d’un stream ≠ désactivation globale du provider.</w:t>
      </w:r>
    </w:p>
    <w:p>
      <w:pPr>
        <w:pStyle w:val="Heading1"/>
        <w:widowControl/>
      </w:pPr>
      <w:r>
        <w:t>7. Reconstruction complète</w:t>
      </w:r>
    </w:p>
    <w:p>
      <w:pPr>
        <w:widowControl/>
      </w:pPr>
      <w:r>
        <w:rPr>
          <w:rFonts w:ascii="Liberation Sans" w:hAnsi="Liberation Sans"/>
        </w:rPr>
        <w:t xml:space="preserve">La reconstruction 96/96 appartient à </w:t>
      </w:r>
      <w:r>
        <w:rPr>
          <w:rFonts w:ascii="Liberation Mono" w:hAnsi="Liberation Mono"/>
          <w:color w:val="2D4670"/>
          <w:sz w:val="16"/>
        </w:rPr>
        <w:t>.github/workflows/provider-v3-reconstruct-all.yml</w:t>
      </w:r>
      <w:r>
        <w:rPr>
          <w:rFonts w:ascii="Liberation Sans" w:hAnsi="Liberation Sans"/>
        </w:rPr>
        <w:t xml:space="preserve">. Règle d’exploitation courante : </w:t>
      </w:r>
      <w:r>
        <w:rPr>
          <w:rFonts w:ascii="Liberation Sans" w:hAnsi="Liberation Sans"/>
          <w:b/>
        </w:rPr>
        <w:t>`main` est l’unique cible d’écriture active</w:t>
      </w:r>
      <w:r>
        <w:rPr>
          <w:rFonts w:ascii="Liberation Sans" w:hAnsi="Liberation Sans"/>
        </w:rPr>
        <w:t>. Le workflow peut utiliser un workspace runner et des artifacts éphémères, mais il ne doit pas créer ou maintenir une branche workbench persistante par défaut.</w:t>
      </w:r>
    </w:p>
    <w:p>
      <w:pPr>
        <w:keepNext/>
        <w:widowControl/>
      </w:pPr>
      <w:r>
        <w:rPr>
          <w:rFonts w:ascii="Liberation Sans" w:hAnsi="Liberation Sans"/>
        </w:rPr>
        <w:t>Interdictions :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 xml:space="preserve">seed depuis </w:t>
      </w:r>
      <w:r>
        <w:rPr>
          <w:rFonts w:ascii="Liberation Mono" w:hAnsi="Liberation Mono"/>
          <w:color w:val="2D4670"/>
          <w:sz w:val="16"/>
        </w:rPr>
        <w:t>providers/*.js</w:t>
      </w:r>
      <w:r>
        <w:rPr>
          <w:rFonts w:ascii="Liberation Sans" w:hAnsi="Liberation Sans"/>
        </w:rPr>
        <w:t xml:space="preserve">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seed depuis un bundle upstream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création automatique d’une branche workbench persistante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reconstruction cachée dans Quick, Deep ou un Native Lab.</w:t>
      </w:r>
    </w:p>
    <w:p>
      <w:pPr>
        <w:widowControl/>
      </w:pPr>
      <w:r>
        <w:rPr>
          <w:rFonts w:ascii="Liberation Sans" w:hAnsi="Liberation Sans"/>
        </w:rPr>
        <w:t xml:space="preserve">La preuve finale doit inclure la reconstruction reverse byte-identical via </w:t>
      </w:r>
      <w:r>
        <w:rPr>
          <w:rFonts w:ascii="Liberation Mono" w:hAnsi="Liberation Mono"/>
          <w:color w:val="2D4670"/>
          <w:sz w:val="16"/>
        </w:rPr>
        <w:t>scripts/verify_provider_v3_reverse_rebuild.py</w:t>
      </w:r>
      <w:r>
        <w:rPr>
          <w:rFonts w:ascii="Liberation Sans" w:hAnsi="Liberation Sans"/>
        </w:rPr>
        <w:t>.</w:t>
      </w:r>
    </w:p>
    <w:p>
      <w:pPr>
        <w:widowControl/>
      </w:pPr>
      <w:r>
        <w:rPr>
          <w:rFonts w:ascii="Liberation Sans" w:hAnsi="Liberation Sans"/>
        </w:rPr>
        <w:t xml:space="preserve">Les anciens comptes de plans/quarantaines restent des </w:t>
      </w:r>
      <w:r>
        <w:rPr>
          <w:rFonts w:ascii="Liberation Sans" w:hAnsi="Liberation Sans"/>
          <w:b/>
        </w:rPr>
        <w:t>snapshots historiques</w:t>
      </w:r>
      <w:r>
        <w:rPr>
          <w:rFonts w:ascii="Liberation Sans" w:hAnsi="Liberation Sans"/>
        </w:rPr>
        <w:t>, jamais une vérité opérationnelle courante.</w:t>
      </w:r>
    </w:p>
    <w:p>
      <w:pPr>
        <w:pStyle w:val="Heading1"/>
        <w:widowControl/>
      </w:pPr>
      <w:r>
        <w:t>8. CORE — Verify &amp; Publish</w:t>
      </w:r>
    </w:p>
    <w:p>
      <w:pPr>
        <w:widowControl/>
      </w:pPr>
      <w:r>
        <w:rPr>
          <w:rFonts w:ascii="Liberation Sans" w:hAnsi="Liberation Sans"/>
        </w:rPr>
        <w:t xml:space="preserve">Le workflow routine est </w:t>
      </w:r>
      <w:r>
        <w:rPr>
          <w:rFonts w:ascii="Liberation Mono" w:hAnsi="Liberation Mono"/>
          <w:color w:val="2D4670"/>
          <w:sz w:val="16"/>
        </w:rPr>
        <w:t>.github/workflows/sync.yml</w:t>
      </w:r>
      <w:r>
        <w:rPr>
          <w:rFonts w:ascii="Liberation Sans" w:hAnsi="Liberation Sans"/>
        </w:rPr>
        <w:t xml:space="preserve"> : </w:t>
      </w:r>
      <w:r>
        <w:rPr>
          <w:rFonts w:ascii="Liberation Sans" w:hAnsi="Liberation Sans"/>
          <w:b/>
        </w:rPr>
        <w:t>CORE - Verify &amp; Publish</w:t>
      </w:r>
      <w:r>
        <w:rPr>
          <w:rFonts w:ascii="Liberation Sans" w:hAnsi="Liberation Sans"/>
        </w:rPr>
        <w:t>.</w:t>
      </w:r>
    </w:p>
    <w:p>
      <w:pPr>
        <w:pStyle w:val="Heading2"/>
        <w:widowControl/>
      </w:pPr>
      <w:r>
        <w:t>Quick</w:t>
      </w:r>
    </w:p>
    <w:p>
      <w:pPr>
        <w:keepNext/>
        <w:widowControl/>
      </w:pPr>
      <w:r>
        <w:rPr>
          <w:rFonts w:ascii="Liberation Sans" w:hAnsi="Liberation Sans"/>
        </w:rPr>
        <w:t>Quick vérifie rapidement :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structure Provider v3/Core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bytes publiés exacts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sécurité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minimizer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contrats média/type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cohérence des cinq Labs.</w:t>
      </w:r>
    </w:p>
    <w:p>
      <w:pPr>
        <w:pStyle w:val="Heading2"/>
        <w:widowControl/>
      </w:pPr>
      <w:r>
        <w:t>Deep</w:t>
      </w:r>
    </w:p>
    <w:p>
      <w:pPr>
        <w:keepNext/>
        <w:widowControl/>
      </w:pPr>
      <w:r>
        <w:rPr>
          <w:rFonts w:ascii="Liberation Sans" w:hAnsi="Liberation Sans"/>
        </w:rPr>
        <w:t>Deep ajoute :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observations réseau/hubs en lecture seule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health des bytes publiés exacts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diagnostics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projections de manifests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hashes et intégrité de release.</w:t>
      </w:r>
    </w:p>
    <w:p>
      <w:pPr>
        <w:widowControl/>
      </w:pPr>
      <w:r>
        <w:rPr>
          <w:rFonts w:ascii="Liberation Sans" w:hAnsi="Liberation Sans"/>
          <w:b/>
        </w:rPr>
        <w:t>Quick/Deep ne réparent ni ne reconstruisent les providers et ne réalisent pas le bump release de routine.</w:t>
      </w:r>
    </w:p>
    <w:p>
      <w:pPr>
        <w:pStyle w:val="Heading2"/>
        <w:widowControl/>
      </w:pPr>
      <w:r>
        <w:t>Finalisation d’une release acceptée</w:t>
      </w:r>
    </w:p>
    <w:p>
      <w:pPr>
        <w:widowControl/>
      </w:pPr>
      <w:r>
        <w:rPr>
          <w:rFonts w:ascii="Liberation Mono" w:hAnsi="Liberation Mono"/>
          <w:color w:val="2D4670"/>
          <w:sz w:val="16"/>
        </w:rPr>
        <w:t>.github/workflows/release-finalize.yml</w:t>
      </w:r>
      <w:r>
        <w:rPr>
          <w:rFonts w:ascii="Liberation Sans" w:hAnsi="Liberation Sans"/>
        </w:rPr>
        <w:t xml:space="preserve"> est la seule transaction explicite de finalisation après acceptation de la pile de validation.</w:t>
      </w:r>
    </w:p>
    <w:p>
      <w:pPr>
        <w:keepNext/>
        <w:widowControl/>
      </w:pPr>
      <w:r>
        <w:rPr>
          <w:rFonts w:ascii="Liberation Sans" w:hAnsi="Liberation Sans"/>
        </w:rPr>
        <w:t>Contrat :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 xml:space="preserve">entrée obligatoire </w:t>
      </w:r>
      <w:r>
        <w:rPr>
          <w:rFonts w:ascii="Liberation Mono" w:hAnsi="Liberation Mono"/>
          <w:color w:val="2D4670"/>
          <w:sz w:val="16"/>
        </w:rPr>
        <w:t>accepted_sha</w:t>
      </w:r>
      <w:r>
        <w:rPr>
          <w:rFonts w:ascii="Liberation Sans" w:hAnsi="Liberation Sans"/>
        </w:rPr>
        <w:t xml:space="preserve"> ; le checkout et la transaction doivent porter exactement ce SHA accepté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baseline_sha</w:t>
      </w:r>
      <w:r>
        <w:rPr>
          <w:rFonts w:ascii="Liberation Sans" w:hAnsi="Liberation Sans"/>
        </w:rPr>
        <w:t xml:space="preserve"> peut être fourni explicitement ; sinon </w:t>
      </w:r>
      <w:r>
        <w:rPr>
          <w:rFonts w:ascii="Liberation Mono" w:hAnsi="Liberation Mono"/>
          <w:color w:val="2D4670"/>
          <w:sz w:val="16"/>
        </w:rPr>
        <w:t>scripts/release_version_baseline.py</w:t>
      </w:r>
      <w:r>
        <w:rPr>
          <w:rFonts w:ascii="Liberation Sans" w:hAnsi="Liberation Sans"/>
        </w:rPr>
        <w:t xml:space="preserve"> retrouve le commit le plus ancien de la génération de version courante sur le first-parent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le finalizer ne répare, ne reconstruit et ne rematérialise aucun provider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il synchronise de façon atomique versions provider/manifest/cache/release, projections de manifests, hashes et intégrité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si aucun byte provider publié n’a changé par rapport à la baseline de release, aucun bump provider/cache ne doit être inventé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si une correction sécurité/runtime modifie ensuite les bytes providers publiés, une nouvelle validation puis une nouvelle finalisation sont obligatoires avant publication.</w:t>
      </w:r>
    </w:p>
    <w:p>
      <w:pPr>
        <w:widowControl/>
      </w:pPr>
      <w:r>
        <w:rPr>
          <w:rFonts w:ascii="Liberation Sans" w:hAnsi="Liberation Sans"/>
        </w:rPr>
        <w:t>Les scripts de finalisation restent des consommateurs des bytes acceptés, jamais une seconde autorité de reconstruction.</w:t>
      </w:r>
    </w:p>
    <w:p>
      <w:pPr>
        <w:pStyle w:val="Heading1"/>
        <w:widowControl/>
      </w:pPr>
      <w:r>
        <w:t>9. Learning</w:t>
      </w:r>
    </w:p>
    <w:p>
      <w:pPr>
        <w:keepNext/>
        <w:widowControl/>
      </w:pPr>
      <w:r>
        <w:rPr>
          <w:rFonts w:ascii="Liberation Mono" w:hAnsi="Liberation Mono"/>
          <w:color w:val="2D4670"/>
          <w:sz w:val="16"/>
        </w:rPr>
        <w:t>.github/workflows/brain-learning-lab.yml</w:t>
      </w:r>
      <w:r>
        <w:rPr>
          <w:rFonts w:ascii="Liberation Sans" w:hAnsi="Liberation Sans"/>
        </w:rPr>
        <w:t xml:space="preserve"> est le seul espace de Learning/réparation expérimentale :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providers actifs et désactivés peuvent être observés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les essais restent sandboxés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les preuves doivent être sanitizées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les mutations deviennent des propositions reviewables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brain-learning/proposals</w:t>
      </w:r>
      <w:r>
        <w:rPr>
          <w:rFonts w:ascii="Liberation Sans" w:hAnsi="Liberation Sans"/>
        </w:rPr>
        <w:t xml:space="preserve"> n’est pas une autorité de publication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aucune mutation ne contourne les gates d’identité, sécurité, reconstruction et release.</w:t>
      </w:r>
    </w:p>
    <w:p>
      <w:pPr>
        <w:widowControl/>
      </w:pPr>
      <w:r>
        <w:rPr>
          <w:rFonts w:ascii="Liberation Sans" w:hAnsi="Liberation Sans"/>
        </w:rPr>
        <w:t>Un échec appartenant au client Nuvio/OS ne doit jamais devenir une réparation Provider v3.</w:t>
      </w:r>
    </w:p>
    <w:p>
      <w:pPr>
        <w:pStyle w:val="Heading1"/>
        <w:widowControl/>
      </w:pPr>
      <w:r>
        <w:t>10. Domain Refresh</w:t>
      </w:r>
    </w:p>
    <w:p>
      <w:pPr>
        <w:keepNext/>
        <w:widowControl/>
      </w:pPr>
      <w:r>
        <w:rPr>
          <w:rFonts w:ascii="Liberation Mono" w:hAnsi="Liberation Mono"/>
          <w:color w:val="2D4670"/>
          <w:sz w:val="16"/>
        </w:rPr>
        <w:t>.github/workflows/domain-refresh.yml</w:t>
      </w:r>
      <w:r>
        <w:rPr>
          <w:rFonts w:ascii="Liberation Sans" w:hAnsi="Liberation Sans"/>
        </w:rPr>
        <w:t xml:space="preserve"> est une exception de maintenance DATA très bornée :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résolution quotidienne des hubs officiels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 xml:space="preserve">champ provider autorisé : </w:t>
      </w:r>
      <w:r>
        <w:rPr>
          <w:rFonts w:ascii="Liberation Mono" w:hAnsi="Liberation Mono"/>
          <w:color w:val="2D4670"/>
          <w:sz w:val="16"/>
        </w:rPr>
        <w:t>official_site</w:t>
      </w:r>
      <w:r>
        <w:rPr>
          <w:rFonts w:ascii="Liberation Sans" w:hAnsi="Liberation Sans"/>
        </w:rPr>
        <w:t xml:space="preserve">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aucun changement de route/API/Core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mise à jour CONFIG seulement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structure du provider identique hors CONFIG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filename content-addressed et projections/hashes rafraîchis si les bytes CONFIG changent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 xml:space="preserve">publication directe sur </w:t>
      </w:r>
      <w:r>
        <w:rPr>
          <w:rFonts w:ascii="Liberation Mono" w:hAnsi="Liberation Mono"/>
          <w:color w:val="2D4670"/>
          <w:sz w:val="16"/>
        </w:rPr>
        <w:t>main</w:t>
      </w:r>
      <w:r>
        <w:rPr>
          <w:rFonts w:ascii="Liberation Sans" w:hAnsi="Liberation Sans"/>
        </w:rPr>
        <w:t xml:space="preserve"> uniquement pour cette transaction explicitement bornée, puis Quick est relancé.</w:t>
      </w:r>
    </w:p>
    <w:p>
      <w:pPr>
        <w:widowControl/>
      </w:pPr>
      <w:r>
        <w:rPr>
          <w:rFonts w:ascii="Liberation Sans" w:hAnsi="Liberation Sans"/>
        </w:rPr>
        <w:t>Le hub sert à localiser l’instance officielle ; il ne remplace pas le protocole business du provider.</w:t>
      </w:r>
    </w:p>
    <w:p>
      <w:pPr>
        <w:pStyle w:val="Heading1"/>
        <w:widowControl/>
      </w:pPr>
      <w:r>
        <w:t>11. Cinq Native Labs</w:t>
      </w:r>
    </w:p>
    <w:p>
      <w:pPr>
        <w:keepNext/>
        <w:widowControl/>
      </w:pPr>
      <w:r>
        <w:rPr>
          <w:rFonts w:ascii="Liberation Sans" w:hAnsi="Liberation Sans"/>
        </w:rPr>
        <w:t>Surface exacte :</w:t>
      </w:r>
    </w:p>
    <w:p>
      <w:pPr>
        <w:ind w:left="317" w:hanging="259"/>
        <w:widowControl/>
      </w:pPr>
      <w:r>
        <w:rPr>
          <w:b/>
        </w:rPr>
        <w:t xml:space="preserve">1. </w:t>
      </w:r>
      <w:r>
        <w:rPr>
          <w:rFonts w:ascii="Liberation Mono" w:hAnsi="Liberation Mono"/>
          <w:color w:val="2D4670"/>
          <w:sz w:val="16"/>
        </w:rPr>
        <w:t>TVAndroid</w:t>
      </w:r>
      <w:r>
        <w:rPr>
          <w:rFonts w:ascii="Liberation Sans" w:hAnsi="Liberation Sans"/>
        </w:rPr>
        <w:t xml:space="preserve"> — NuvioTV ;</w:t>
      </w:r>
    </w:p>
    <w:p>
      <w:pPr>
        <w:ind w:left="317" w:hanging="259"/>
        <w:widowControl/>
      </w:pPr>
      <w:r>
        <w:rPr>
          <w:b/>
        </w:rPr>
        <w:t xml:space="preserve">2. </w:t>
      </w:r>
      <w:r>
        <w:rPr>
          <w:rFonts w:ascii="Liberation Mono" w:hAnsi="Liberation Mono"/>
          <w:color w:val="2D4670"/>
          <w:sz w:val="16"/>
        </w:rPr>
        <w:t>MobileAndroid</w:t>
      </w:r>
      <w:r>
        <w:rPr>
          <w:rFonts w:ascii="Liberation Sans" w:hAnsi="Liberation Sans"/>
        </w:rPr>
        <w:t xml:space="preserve"> — NuvioMobile ;</w:t>
      </w:r>
    </w:p>
    <w:p>
      <w:pPr>
        <w:ind w:left="317" w:hanging="259"/>
        <w:widowControl/>
      </w:pPr>
      <w:r>
        <w:rPr>
          <w:b/>
        </w:rPr>
        <w:t xml:space="preserve">3. </w:t>
      </w:r>
      <w:r>
        <w:rPr>
          <w:rFonts w:ascii="Liberation Mono" w:hAnsi="Liberation Mono"/>
          <w:color w:val="2D4670"/>
          <w:sz w:val="16"/>
        </w:rPr>
        <w:t>MobileIOS</w:t>
      </w:r>
      <w:r>
        <w:rPr>
          <w:rFonts w:ascii="Liberation Sans" w:hAnsi="Liberation Sans"/>
        </w:rPr>
        <w:t xml:space="preserve"> — NuvioMobile ;</w:t>
      </w:r>
    </w:p>
    <w:p>
      <w:pPr>
        <w:ind w:left="317" w:hanging="259"/>
        <w:widowControl/>
      </w:pPr>
      <w:r>
        <w:rPr>
          <w:b/>
        </w:rPr>
        <w:t xml:space="preserve">4. </w:t>
      </w:r>
      <w:r>
        <w:rPr>
          <w:rFonts w:ascii="Liberation Mono" w:hAnsi="Liberation Mono"/>
          <w:color w:val="2D4670"/>
          <w:sz w:val="16"/>
        </w:rPr>
        <w:t>DesktopMACOS</w:t>
      </w:r>
      <w:r>
        <w:rPr>
          <w:rFonts w:ascii="Liberation Sans" w:hAnsi="Liberation Sans"/>
        </w:rPr>
        <w:t xml:space="preserve"> — NuvioDesktop ;</w:t>
      </w:r>
    </w:p>
    <w:p>
      <w:pPr>
        <w:ind w:left="317" w:hanging="259"/>
        <w:widowControl/>
      </w:pPr>
      <w:r>
        <w:rPr>
          <w:b/>
        </w:rPr>
        <w:t xml:space="preserve">5. </w:t>
      </w:r>
      <w:r>
        <w:rPr>
          <w:rFonts w:ascii="Liberation Mono" w:hAnsi="Liberation Mono"/>
          <w:color w:val="2D4670"/>
          <w:sz w:val="16"/>
        </w:rPr>
        <w:t>DesktopWindows</w:t>
      </w:r>
      <w:r>
        <w:rPr>
          <w:rFonts w:ascii="Liberation Sans" w:hAnsi="Liberation Sans"/>
        </w:rPr>
        <w:t xml:space="preserve"> — NuvioDesktop.</w:t>
      </w:r>
    </w:p>
    <w:p>
      <w:pPr>
        <w:keepNext/>
        <w:widowControl/>
      </w:pPr>
      <w:r>
        <w:rPr>
          <w:rFonts w:ascii="Liberation Sans" w:hAnsi="Liberation Sans"/>
        </w:rPr>
        <w:t>Règles :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chaque device est une preuve indépendante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la matrice de routes est dérivée du manifest courant, pas d’un nombre figé dans la documentation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canonicalSupportedTypes</w:t>
      </w:r>
      <w:r>
        <w:rPr>
          <w:rFonts w:ascii="Liberation Sans" w:hAnsi="Liberation Sans"/>
        </w:rPr>
        <w:t xml:space="preserve"> porte la sémantique, </w:t>
      </w:r>
      <w:r>
        <w:rPr>
          <w:rFonts w:ascii="Liberation Mono" w:hAnsi="Liberation Mono"/>
          <w:color w:val="2D4670"/>
          <w:sz w:val="16"/>
        </w:rPr>
        <w:t>supportedTypes</w:t>
      </w:r>
      <w:r>
        <w:rPr>
          <w:rFonts w:ascii="Liberation Sans" w:hAnsi="Liberation Sans"/>
        </w:rPr>
        <w:t xml:space="preserve"> la surface de lancement testée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providers désactivés restent auditables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les Labs utilisent les bytes NiakVIO candidats exacts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  <w:b/>
        </w:rPr>
        <w:t>aucun Lab ne patch NuvioTV/NuvioMobile/NuvioDesktop pour contourner un bug upstream</w:t>
      </w:r>
      <w:r>
        <w:rPr>
          <w:rFonts w:ascii="Liberation Sans" w:hAnsi="Liberation Sans"/>
        </w:rPr>
        <w:t xml:space="preserve">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un bug de compilation, packaging, runtime, QuickJS ou player upstream reste une preuve externe rouge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le plumbing de test est autorisé uniquement s’il expose le chemin officiel sans changer le comportement production ni réparer le défaut observé.</w:t>
      </w:r>
    </w:p>
    <w:p>
      <w:pPr>
        <w:widowControl/>
      </w:pPr>
      <w:r>
        <w:rPr>
          <w:rFonts w:ascii="Liberation Sans" w:hAnsi="Liberation Sans"/>
        </w:rPr>
        <w:t xml:space="preserve">Le trigger commun est </w:t>
      </w:r>
      <w:r>
        <w:rPr>
          <w:rFonts w:ascii="Liberation Mono" w:hAnsi="Liberation Mono"/>
          <w:color w:val="2D4670"/>
          <w:sz w:val="16"/>
        </w:rPr>
        <w:t>.github/triggers/full-native-lab-validation.json</w:t>
      </w:r>
      <w:r>
        <w:rPr>
          <w:rFonts w:ascii="Liberation Sans" w:hAnsi="Liberation Sans"/>
        </w:rPr>
        <w:t>.</w:t>
      </w:r>
    </w:p>
    <w:p>
      <w:pPr>
        <w:pStyle w:val="Heading1"/>
        <w:widowControl/>
      </w:pPr>
      <w:r>
        <w:t>12. Minimizer NiakVIO</w:t>
      </w:r>
    </w:p>
    <w:p>
      <w:pPr>
        <w:widowControl/>
      </w:pPr>
      <w:r>
        <w:rPr>
          <w:rFonts w:ascii="Liberation Sans" w:hAnsi="Liberation Sans"/>
        </w:rPr>
        <w:t>Terser est interdit.</w:t>
      </w:r>
    </w:p>
    <w:p>
      <w:pPr>
        <w:keepNext/>
        <w:widowControl/>
      </w:pPr>
      <w:r>
        <w:rPr>
          <w:rFonts w:ascii="Liberation Mono" w:hAnsi="Liberation Mono"/>
          <w:color w:val="2D4670"/>
          <w:sz w:val="16"/>
        </w:rPr>
        <w:t>scripts/provider_v3_minimizer.py</w:t>
      </w:r>
      <w:r>
        <w:rPr>
          <w:rFonts w:ascii="Liberation Sans" w:hAnsi="Liberation Sans"/>
        </w:rPr>
        <w:t xml:space="preserve"> est conservateur et pré-hash. Il doit préserver :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enveloppe BEGIN/END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STARTFIX/CLOSEFIX/FIXDATA</w:t>
      </w:r>
      <w:r>
        <w:rPr>
          <w:rFonts w:ascii="Liberation Sans" w:hAnsi="Liberation Sans"/>
        </w:rPr>
        <w:t xml:space="preserve">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frontière Core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retours ligne nécessaires à l’ASI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littéraux, regexp et templates sensibles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identifiants et ordre d’exécution.</w:t>
      </w:r>
    </w:p>
    <w:p>
      <w:pPr>
        <w:widowControl/>
      </w:pPr>
      <w:r>
        <w:rPr>
          <w:rFonts w:ascii="Liberation Sans" w:hAnsi="Liberation Sans"/>
        </w:rPr>
        <w:t>Pas de renommage, reorder, folding ou remplacement textuel global. Les providers à état lexical risqué peuvent rester byte-stables.</w:t>
      </w:r>
    </w:p>
    <w:p>
      <w:pPr>
        <w:keepNext/>
        <w:widowControl/>
      </w:pPr>
      <w:r>
        <w:rPr>
          <w:rFonts w:ascii="Liberation Sans" w:hAnsi="Liberation Sans"/>
        </w:rPr>
        <w:t>Gates :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tests/provider_v3_minimizer_contract_test.py</w:t>
      </w:r>
      <w:r>
        <w:rPr>
          <w:rFonts w:ascii="Liberation Sans" w:hAnsi="Liberation Sans"/>
        </w:rPr>
        <w:t xml:space="preserve">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tests/provider_v3_minimizer_preview_test.py</w:t>
      </w:r>
      <w:r>
        <w:rPr>
          <w:rFonts w:ascii="Liberation Sans" w:hAnsi="Liberation Sans"/>
        </w:rPr>
        <w:t xml:space="preserve">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tests/provider_v3_minimizer_published_test.py</w:t>
      </w:r>
      <w:r>
        <w:rPr>
          <w:rFonts w:ascii="Liberation Sans" w:hAnsi="Liberation Sans"/>
        </w:rPr>
        <w:t xml:space="preserve">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scripts/verify_provider_v3_reverse_rebuild.py</w:t>
      </w:r>
      <w:r>
        <w:rPr>
          <w:rFonts w:ascii="Liberation Sans" w:hAnsi="Liberation Sans"/>
        </w:rPr>
        <w:t>.</w:t>
      </w:r>
    </w:p>
    <w:p>
      <w:pPr>
        <w:pStyle w:val="Heading1"/>
        <w:widowControl/>
      </w:pPr>
      <w:r>
        <w:t>13. Sécurité</w:t>
      </w:r>
    </w:p>
    <w:p>
      <w:pPr>
        <w:widowControl/>
      </w:pPr>
      <w:r>
        <w:rPr>
          <w:rFonts w:ascii="Liberation Sans" w:hAnsi="Liberation Sans"/>
        </w:rPr>
        <w:t>Provider JS est de l’entrée non fiable : sandbox, budgets mémoire/temps/réseau, SSRF/redirect guards, protocoles P2P interdits, sanitization des artifacts et fail-closed publication.</w:t>
      </w:r>
    </w:p>
    <w:p>
      <w:pPr>
        <w:widowControl/>
      </w:pPr>
      <w:r>
        <w:rPr>
          <w:rFonts w:ascii="Liberation Sans" w:hAnsi="Liberation Sans"/>
        </w:rPr>
        <w:t>Le stripping HTML générique par regexp est interdit. Les findings CodeQL sur code NiakVIO doivent être corrigés ou justifiés ; les snapshots/bundles générés restent traités comme code non fiable même lorsqu’un finding est classé vendored/generated.</w:t>
      </w:r>
    </w:p>
    <w:p>
      <w:pPr>
        <w:widowControl/>
      </w:pPr>
      <w:r>
        <w:rPr>
          <w:rFonts w:ascii="Liberation Mono" w:hAnsi="Liberation Mono"/>
          <w:color w:val="2D4670"/>
          <w:sz w:val="16"/>
        </w:rPr>
        <w:t>.github/workflows/codeql.yml</w:t>
      </w:r>
      <w:r>
        <w:rPr>
          <w:rFonts w:ascii="Liberation Sans" w:hAnsi="Liberation Sans"/>
        </w:rPr>
        <w:t xml:space="preserve"> produit une preuve locale </w:t>
      </w:r>
      <w:r>
        <w:rPr>
          <w:rFonts w:ascii="Liberation Mono" w:hAnsi="Liberation Mono"/>
          <w:color w:val="2D4670"/>
          <w:sz w:val="16"/>
        </w:rPr>
        <w:t>security-extended</w:t>
      </w:r>
      <w:r>
        <w:rPr>
          <w:rFonts w:ascii="Liberation Sans" w:hAnsi="Liberation Sans"/>
        </w:rPr>
        <w:t xml:space="preserve"> au SHA exact, conserve le SARIF en artifact et gate les findings High/Critical. Le même workflow audite les dépendances production au niveau High/Critical. Cette preuve complète le CodeQL Default Setup GitHub ; elle ne doit pas être désactivée pour masquer des alertes historiques.</w:t>
      </w:r>
    </w:p>
    <w:p>
      <w:pPr>
        <w:pStyle w:val="Heading1"/>
        <w:widowControl/>
      </w:pPr>
      <w:r>
        <w:t>14. Branches et publication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  <w:b/>
        </w:rPr>
        <w:t>`main` = production et unique cible d’écriture active pour le travail courant</w:t>
      </w:r>
      <w:r>
        <w:rPr>
          <w:rFonts w:ascii="Liberation Sans" w:hAnsi="Liberation Sans"/>
        </w:rPr>
        <w:t xml:space="preserve">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ne pas créer de nouvelle branche workbench/clean pour les corrections en cours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brain-learning/proposals</w:t>
      </w:r>
      <w:r>
        <w:rPr>
          <w:rFonts w:ascii="Liberation Sans" w:hAnsi="Liberation Sans"/>
        </w:rPr>
        <w:t xml:space="preserve"> reste un store passif de propositions Learning, sans autorité de publication directe et sans servir de branche d’implémentation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aucune branche workbench historique ne doit être documentée comme active après sa suppression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avant de supprimer un ancien ref, vérifier qu’aucun artifact/code/doc utile n’y reste unique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 xml:space="preserve">la finalisation release s’effectue uniquement après acceptation de la pile de validation, via </w:t>
      </w:r>
      <w:r>
        <w:rPr>
          <w:rFonts w:ascii="Liberation Mono" w:hAnsi="Liberation Mono"/>
          <w:color w:val="2D4670"/>
          <w:sz w:val="16"/>
        </w:rPr>
        <w:t>release-finalize.yml</w:t>
      </w:r>
      <w:r>
        <w:rPr>
          <w:rFonts w:ascii="Liberation Sans" w:hAnsi="Liberation Sans"/>
        </w:rPr>
        <w:t xml:space="preserve"> sur le SHA exact accepté ;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Sans" w:hAnsi="Liberation Sans"/>
        </w:rPr>
        <w:t>documentation/workflow/harness seuls n’imposent pas de bump provider/cache tant que les bytes providers publiés restent identiques.</w:t>
      </w:r>
    </w:p>
    <w:p>
      <w:pPr>
        <w:pStyle w:val="Heading1"/>
        <w:widowControl/>
      </w:pPr>
      <w:r>
        <w:t>15. Invariants non négociables</w:t>
      </w:r>
    </w:p>
    <w:p>
      <w:pPr>
        <w:ind w:left="317" w:hanging="259"/>
        <w:widowControl/>
      </w:pPr>
      <w:r>
        <w:rPr>
          <w:b/>
        </w:rPr>
        <w:t xml:space="preserve">1. </w:t>
      </w:r>
      <w:r>
        <w:rPr>
          <w:rFonts w:ascii="Liberation Sans" w:hAnsi="Liberation Sans"/>
        </w:rPr>
        <w:t>Les 96 Provider Objects restent dans le census.</w:t>
      </w:r>
    </w:p>
    <w:p>
      <w:pPr>
        <w:ind w:left="317" w:hanging="259"/>
        <w:widowControl/>
      </w:pPr>
      <w:r>
        <w:rPr>
          <w:b/>
        </w:rPr>
        <w:t xml:space="preserve">2. </w:t>
      </w:r>
      <w:r>
        <w:rPr>
          <w:rFonts w:ascii="Liberation Sans" w:hAnsi="Liberation Sans"/>
        </w:rPr>
        <w:t>ProviderBase v3 + DATA + Lego recréent les bundles sans seed JS publiée/upstream.</w:t>
      </w:r>
    </w:p>
    <w:p>
      <w:pPr>
        <w:ind w:left="317" w:hanging="259"/>
        <w:widowControl/>
      </w:pPr>
      <w:r>
        <w:rPr>
          <w:b/>
        </w:rPr>
        <w:t xml:space="preserve">3. </w:t>
      </w:r>
      <w:r>
        <w:rPr>
          <w:rFonts w:ascii="Liberation Mono" w:hAnsi="Liberation Mono"/>
          <w:color w:val="2D4670"/>
          <w:sz w:val="16"/>
        </w:rPr>
        <w:t>provider.model.routeData</w:t>
      </w:r>
      <w:r>
        <w:rPr>
          <w:rFonts w:ascii="Liberation Sans" w:hAnsi="Liberation Sans"/>
        </w:rPr>
        <w:t xml:space="preserve"> est la source route canonique.</w:t>
      </w:r>
    </w:p>
    <w:p>
      <w:pPr>
        <w:ind w:left="317" w:hanging="259"/>
        <w:widowControl/>
      </w:pPr>
      <w:r>
        <w:rPr>
          <w:b/>
        </w:rPr>
        <w:t xml:space="preserve">4. </w:t>
      </w:r>
      <w:r>
        <w:rPr>
          <w:rFonts w:ascii="Liberation Sans" w:hAnsi="Liberation Sans"/>
        </w:rPr>
        <w:t>Reconnaissance vide ≠ quarantaine.</w:t>
      </w:r>
    </w:p>
    <w:p>
      <w:pPr>
        <w:ind w:left="317" w:hanging="259"/>
        <w:widowControl/>
      </w:pPr>
      <w:r>
        <w:rPr>
          <w:b/>
        </w:rPr>
        <w:t xml:space="preserve">5. </w:t>
      </w:r>
      <w:r>
        <w:rPr>
          <w:rFonts w:ascii="Liberation Mono" w:hAnsi="Liberation Mono"/>
          <w:color w:val="2D4670"/>
          <w:sz w:val="16"/>
        </w:rPr>
        <w:t>canonicalSupportedTypes</w:t>
      </w:r>
      <w:r>
        <w:rPr>
          <w:rFonts w:ascii="Liberation Sans" w:hAnsi="Liberation Sans"/>
        </w:rPr>
        <w:t xml:space="preserve"> ≠ </w:t>
      </w:r>
      <w:r>
        <w:rPr>
          <w:rFonts w:ascii="Liberation Mono" w:hAnsi="Liberation Mono"/>
          <w:color w:val="2D4670"/>
          <w:sz w:val="16"/>
        </w:rPr>
        <w:t>supportedTypes</w:t>
      </w:r>
      <w:r>
        <w:rPr>
          <w:rFonts w:ascii="Liberation Sans" w:hAnsi="Liberation Sans"/>
        </w:rPr>
        <w:t>.</w:t>
      </w:r>
    </w:p>
    <w:p>
      <w:pPr>
        <w:ind w:left="317" w:hanging="259"/>
        <w:widowControl/>
      </w:pPr>
      <w:r>
        <w:rPr>
          <w:b/>
        </w:rPr>
        <w:t xml:space="preserve">6. </w:t>
      </w:r>
      <w:r>
        <w:rPr>
          <w:rFonts w:ascii="Liberation Sans" w:hAnsi="Liberation Sans"/>
        </w:rPr>
        <w:t xml:space="preserve">Anime canonique peut être lancé via </w:t>
      </w:r>
      <w:r>
        <w:rPr>
          <w:rFonts w:ascii="Liberation Mono" w:hAnsi="Liberation Mono"/>
          <w:color w:val="2D4670"/>
          <w:sz w:val="16"/>
        </w:rPr>
        <w:t>anime/tv/movie</w:t>
      </w:r>
      <w:r>
        <w:rPr>
          <w:rFonts w:ascii="Liberation Sans" w:hAnsi="Liberation Sans"/>
        </w:rPr>
        <w:t xml:space="preserve"> sans devenir movie/tv canonique.</w:t>
      </w:r>
    </w:p>
    <w:p>
      <w:pPr>
        <w:ind w:left="317" w:hanging="259"/>
        <w:widowControl/>
      </w:pPr>
      <w:r>
        <w:rPr>
          <w:b/>
        </w:rPr>
        <w:t xml:space="preserve">7. </w:t>
      </w:r>
      <w:r>
        <w:rPr>
          <w:rFonts w:ascii="Liberation Sans" w:hAnsi="Liberation Sans"/>
        </w:rPr>
        <w:t>Gate capacité avant réseau provider.</w:t>
      </w:r>
    </w:p>
    <w:p>
      <w:pPr>
        <w:ind w:left="317" w:hanging="259"/>
        <w:widowControl/>
      </w:pPr>
      <w:r>
        <w:rPr>
          <w:b/>
        </w:rPr>
        <w:t xml:space="preserve">8. </w:t>
      </w:r>
      <w:r>
        <w:rPr>
          <w:rFonts w:ascii="Liberation Sans" w:hAnsi="Liberation Sans"/>
        </w:rPr>
        <w:t>Quick/Deep ne réparent ni ne reconstruisent et ne finalisent pas une release en routine.</w:t>
      </w:r>
    </w:p>
    <w:p>
      <w:pPr>
        <w:ind w:left="317" w:hanging="259"/>
        <w:widowControl/>
      </w:pPr>
      <w:r>
        <w:rPr>
          <w:b/>
        </w:rPr>
        <w:t xml:space="preserve">9. </w:t>
      </w:r>
      <w:r>
        <w:rPr>
          <w:rFonts w:ascii="Liberation Mono" w:hAnsi="Liberation Mono"/>
          <w:color w:val="2D4670"/>
          <w:sz w:val="16"/>
        </w:rPr>
        <w:t>release-finalize.yml</w:t>
      </w:r>
      <w:r>
        <w:rPr>
          <w:rFonts w:ascii="Liberation Sans" w:hAnsi="Liberation Sans"/>
        </w:rPr>
        <w:t xml:space="preserve"> ne modifie que la transaction release de bytes déjà acceptés.</w:t>
      </w:r>
    </w:p>
    <w:p>
      <w:pPr>
        <w:ind w:left="317" w:hanging="259"/>
        <w:widowControl/>
      </w:pPr>
      <w:r>
        <w:rPr>
          <w:b/>
        </w:rPr>
        <w:t xml:space="preserve">10. </w:t>
      </w:r>
      <w:r>
        <w:rPr>
          <w:rFonts w:ascii="Liberation Sans" w:hAnsi="Liberation Sans"/>
        </w:rPr>
        <w:t>Learning ne publie pas directement.</w:t>
      </w:r>
    </w:p>
    <w:p>
      <w:pPr>
        <w:ind w:left="317" w:hanging="259"/>
        <w:widowControl/>
      </w:pPr>
      <w:r>
        <w:rPr>
          <w:b/>
        </w:rPr>
        <w:t xml:space="preserve">11. </w:t>
      </w:r>
      <w:r>
        <w:rPr>
          <w:rFonts w:ascii="Liberation Sans" w:hAnsi="Liberation Sans"/>
        </w:rPr>
        <w:t xml:space="preserve">Domain Refresh reste CONFIG </w:t>
      </w:r>
      <w:r>
        <w:rPr>
          <w:rFonts w:ascii="Liberation Mono" w:hAnsi="Liberation Mono"/>
          <w:color w:val="2D4670"/>
          <w:sz w:val="16"/>
        </w:rPr>
        <w:t>official_site</w:t>
      </w:r>
      <w:r>
        <w:rPr>
          <w:rFonts w:ascii="Liberation Sans" w:hAnsi="Liberation Sans"/>
        </w:rPr>
        <w:t>-only.</w:t>
      </w:r>
    </w:p>
    <w:p>
      <w:pPr>
        <w:ind w:left="317" w:hanging="259"/>
        <w:widowControl/>
      </w:pPr>
      <w:r>
        <w:rPr>
          <w:b/>
        </w:rPr>
        <w:t xml:space="preserve">12. </w:t>
      </w:r>
      <w:r>
        <w:rPr>
          <w:rFonts w:ascii="Liberation Sans" w:hAnsi="Liberation Sans"/>
        </w:rPr>
        <w:t>Les cinq Labs restent séparés et observationnels.</w:t>
      </w:r>
    </w:p>
    <w:p>
      <w:pPr>
        <w:ind w:left="317" w:hanging="259"/>
        <w:widowControl/>
      </w:pPr>
      <w:r>
        <w:rPr>
          <w:b/>
        </w:rPr>
        <w:t xml:space="preserve">13. </w:t>
      </w:r>
      <w:r>
        <w:rPr>
          <w:rFonts w:ascii="Liberation Sans" w:hAnsi="Liberation Sans"/>
        </w:rPr>
        <w:t>Aucun Lab ne corrige un bug du repo Nuvio pour obtenir un vert.</w:t>
      </w:r>
    </w:p>
    <w:p>
      <w:pPr>
        <w:ind w:left="317" w:hanging="259"/>
        <w:widowControl/>
      </w:pPr>
      <w:r>
        <w:rPr>
          <w:b/>
        </w:rPr>
        <w:t xml:space="preserve">14. </w:t>
      </w:r>
      <w:r>
        <w:rPr>
          <w:rFonts w:ascii="Liberation Sans" w:hAnsi="Liberation Sans"/>
        </w:rPr>
        <w:t>Mauvais média jouable = échec.</w:t>
      </w:r>
    </w:p>
    <w:p>
      <w:pPr>
        <w:ind w:left="317" w:hanging="259"/>
        <w:widowControl/>
      </w:pPr>
      <w:r>
        <w:rPr>
          <w:b/>
        </w:rPr>
        <w:t xml:space="preserve">15. </w:t>
      </w:r>
      <w:r>
        <w:rPr>
          <w:rFonts w:ascii="Liberation Sans" w:hAnsi="Liberation Sans"/>
        </w:rPr>
        <w:t>Stream cassé ≠ provider globalement désactivé.</w:t>
      </w:r>
    </w:p>
    <w:p>
      <w:pPr>
        <w:ind w:left="317" w:hanging="259"/>
        <w:widowControl/>
      </w:pPr>
      <w:r>
        <w:rPr>
          <w:b/>
        </w:rPr>
        <w:t xml:space="preserve">16. </w:t>
      </w:r>
      <w:r>
        <w:rPr>
          <w:rFonts w:ascii="Liberation Sans" w:hAnsi="Liberation Sans"/>
        </w:rPr>
        <w:t>Terser interdit ; minimizer conservateur uniquement.</w:t>
      </w:r>
    </w:p>
    <w:p>
      <w:pPr>
        <w:ind w:left="317" w:hanging="259"/>
        <w:widowControl/>
      </w:pPr>
      <w:r>
        <w:rPr>
          <w:b/>
        </w:rPr>
        <w:t xml:space="preserve">17. </w:t>
      </w:r>
      <w:r>
        <w:rPr>
          <w:rFonts w:ascii="Liberation Sans" w:hAnsi="Liberation Sans"/>
        </w:rPr>
        <w:t>HTML stripping générique par regexp interdit.</w:t>
      </w:r>
    </w:p>
    <w:p>
      <w:pPr>
        <w:ind w:left="317" w:hanging="259"/>
        <w:widowControl/>
      </w:pPr>
      <w:r>
        <w:rPr>
          <w:b/>
        </w:rPr>
        <w:t xml:space="preserve">18. </w:t>
      </w:r>
      <w:r>
        <w:rPr>
          <w:rFonts w:ascii="Liberation Sans" w:hAnsi="Liberation Sans"/>
        </w:rPr>
        <w:t>Les métriques/run IDs historiques restent dans les rapports, pas dans les invariants.</w:t>
      </w:r>
    </w:p>
    <w:p>
      <w:pPr>
        <w:pStyle w:val="Heading1"/>
        <w:widowControl/>
      </w:pPr>
      <w:r>
        <w:t>Références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automation/provider-v3-architecture.json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automation/provider-v3-static-knowledge.json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provider-v3-materialization.json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PROVENANCE.json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provider-overrides.json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.github/workflows/release-finalize.yml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scripts/release_version_baseline.py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scripts/materialize_provider_v3_all.py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scripts/verify_provider_v3_reverse_rebuild.py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scripts/provider_v3_minimizer.py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tests/provider_v3_documentation_contract_test.py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tests/native_five_lab_coverage_test.py</w:t>
      </w:r>
    </w:p>
    <w:p>
      <w:pPr>
        <w:ind w:left="259" w:hanging="173"/>
        <w:widowControl/>
      </w:pPr>
      <w:r>
        <w:rPr>
          <w:b/>
        </w:rPr>
        <w:t xml:space="preserve">• </w:t>
      </w:r>
      <w:r>
        <w:rPr>
          <w:rFonts w:ascii="Liberation Mono" w:hAnsi="Liberation Mono"/>
          <w:color w:val="2D4670"/>
          <w:sz w:val="16"/>
        </w:rPr>
        <w:t>tests/native_lab_observational_purity_test.py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C768C"/>
        <w:sz w:val="14"/>
      </w:rPr>
      <w:t xml:space="preserve">NiakVIO  ·  Architecture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6C768C"/>
        <w:sz w:val="14"/>
      </w:rPr>
      <w:t>NiakVIO  ·  Provider v3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8" w:line="254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21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34A7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34A7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721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Note">
    <w:name w:val="QuoteNote"/>
    <w:pPr>
      <w:spacing w:after="140"/>
      <w:ind w:left="259" w:right="115"/>
    </w:pPr>
    <w:rPr>
      <w:rFonts w:ascii="Liberation Sans" w:hAnsi="Liberation Sans"/>
      <w:i/>
      <w:color w:val="505C76"/>
      <w:sz w:val="18"/>
    </w:rPr>
  </w:style>
  <w:style w:type="paragraph" w:customStyle="1" w:styleId="CodeBlock">
    <w:name w:val="CodeBlock"/>
    <w:pPr>
      <w:spacing w:before="40" w:after="40" w:line="240" w:lineRule="auto"/>
      <w:ind w:left="259" w:right="115"/>
    </w:pPr>
    <w:rPr>
      <w:rFonts w:ascii="Liberation Mono" w:hAnsi="Liberation Mono"/>
      <w:color w:val="25345B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NiakVIO — Provider v3</dc:title>
  <dc:subject>Normative Provider v3 architecture and release contracts</dc:subject>
  <dc:creator>NiakVIO</dc:creator>
  <cp:keywords>NiakVIO, Nuvio, Provider v3, architecture, release, Labs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