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before="500"/>
        <w:jc w:val="center"/>
      </w:pPr>
      <w:r>
        <w:rPr>
          <w:rFonts w:ascii="Space Grotesk" w:cs="Space Grotesk" w:eastAsia="Space Grotesk" w:hAnsi="Space Grotesk"/>
          <w:b/>
          <w:bCs/>
          <w:color w:val="0A0F1E"/>
          <w:spacing w:val="40"/>
          <w:sz w:val="96"/>
          <w:szCs w:val="96"/>
        </w:rPr>
        <w:t xml:space="preserve">NIAKX</w:t>
      </w:r>
    </w:p>
    <w:p>
      <w:pPr>
        <w:spacing w:after="80" w:before="120"/>
        <w:jc w:val="center"/>
      </w:pPr>
      <w:r>
        <w:rPr>
          <w:rFonts w:ascii="Space Grotesk" w:cs="Space Grotesk" w:eastAsia="Space Grotesk" w:hAnsi="Space Grotesk"/>
          <w:b/>
          <w:bCs/>
          <w:color w:val="2563EB"/>
          <w:spacing w:val="60"/>
          <w:sz w:val="34"/>
          <w:szCs w:val="34"/>
        </w:rPr>
        <w:t xml:space="preserve">BRAND GUIDE</w:t>
      </w:r>
    </w:p>
    <w:p>
      <w:pPr>
        <w:spacing w:after="40" w:before="40"/>
        <w:jc w:val="center"/>
      </w:pPr>
      <w:r>
        <w:rPr>
          <w:rFonts w:ascii="Inter" w:cs="Inter" w:eastAsia="Inter" w:hAnsi="Inter"/>
          <w:i/>
          <w:iCs/>
          <w:color w:val="94A3B8"/>
          <w:sz w:val="24"/>
          <w:szCs w:val="24"/>
        </w:rPr>
        <w:t xml:space="preserve">Build. Launch. Scale.</w:t>
      </w:r>
    </w:p>
    <w:p>
      <w:pPr>
        <w:spacing w:before="900"/>
        <w:jc w:val="center"/>
      </w:pPr>
      <w:r>
        <w:rPr>
          <w:rFonts w:ascii="Inter" w:cs="Inter" w:eastAsia="Inter" w:hAnsi="Inter"/>
          <w:color w:val="94A3B8"/>
          <w:sz w:val="18"/>
          <w:szCs w:val="18"/>
        </w:rPr>
        <w:t xml:space="preserve">Version 1.0  ·  2026  ·  AI-powered digital products for modern founders</w:t>
      </w:r>
    </w:p>
    <w:p>
      <w:pPr>
        <w:sectPr>
          <w:pgSz w:w="12240" w:h="15840" w:orient="portrait"/>
          <w:pgMar w:top="1440" w:right="1440" w:bottom="1440" w:left="1440" w:header="708" w:footer="708" w:gutter="0"/>
          <w:pgNumType/>
          <w:titlePg/>
          <w:docGrid w:linePitch="360"/>
        </w:sectPr>
      </w:pPr>
    </w:p>
    <w:p>
      <w:pPr>
        <w:pStyle w:val="Heading1"/>
        <w:spacing w:after="200" w:before="400"/>
      </w:pPr>
      <w:r>
        <w:rPr>
          <w:rFonts w:ascii="Space Grotesk" w:cs="Space Grotesk" w:eastAsia="Space Grotesk" w:hAnsi="Space Grotesk"/>
          <w:b/>
          <w:bCs/>
          <w:color w:val="0A0F1E"/>
          <w:sz w:val="40"/>
          <w:szCs w:val="40"/>
        </w:rPr>
        <w:t xml:space="preserve">Contents</w:t>
      </w:r>
    </w:p>
    <w:p>
      <w:pPr>
        <w:spacing w:after="160" w:line="300"/>
      </w:pPr>
      <w:r>
        <w:rPr>
          <w:rFonts w:ascii="Inter" w:cs="Inter" w:eastAsia="Inter" w:hAnsi="Inter"/>
          <w:i w:val="false"/>
          <w:iCs w:val="false"/>
          <w:color w:val="2B2B33"/>
          <w:sz w:val="21"/>
          <w:szCs w:val="21"/>
        </w:rPr>
        <w:t xml:space="preserve">01 — Brand Overview</w:t>
      </w:r>
    </w:p>
    <w:p>
      <w:pPr>
        <w:spacing w:after="160" w:line="300"/>
      </w:pPr>
      <w:r>
        <w:rPr>
          <w:rFonts w:ascii="Inter" w:cs="Inter" w:eastAsia="Inter" w:hAnsi="Inter"/>
          <w:i w:val="false"/>
          <w:iCs w:val="false"/>
          <w:color w:val="2B2B33"/>
          <w:sz w:val="21"/>
          <w:szCs w:val="21"/>
        </w:rPr>
        <w:t xml:space="preserve">02 — Logo System</w:t>
      </w:r>
    </w:p>
    <w:p>
      <w:pPr>
        <w:spacing w:after="160" w:line="300"/>
      </w:pPr>
      <w:r>
        <w:rPr>
          <w:rFonts w:ascii="Inter" w:cs="Inter" w:eastAsia="Inter" w:hAnsi="Inter"/>
          <w:i w:val="false"/>
          <w:iCs w:val="false"/>
          <w:color w:val="2B2B33"/>
          <w:sz w:val="21"/>
          <w:szCs w:val="21"/>
        </w:rPr>
        <w:t xml:space="preserve">03 — Color Palette</w:t>
      </w:r>
    </w:p>
    <w:p>
      <w:pPr>
        <w:spacing w:after="160" w:line="300"/>
      </w:pPr>
      <w:r>
        <w:rPr>
          <w:rFonts w:ascii="Inter" w:cs="Inter" w:eastAsia="Inter" w:hAnsi="Inter"/>
          <w:i w:val="false"/>
          <w:iCs w:val="false"/>
          <w:color w:val="2B2B33"/>
          <w:sz w:val="21"/>
          <w:szCs w:val="21"/>
        </w:rPr>
        <w:t xml:space="preserve">04 — Typography</w:t>
      </w:r>
    </w:p>
    <w:p>
      <w:pPr>
        <w:spacing w:after="160" w:line="300"/>
      </w:pPr>
      <w:r>
        <w:rPr>
          <w:rFonts w:ascii="Inter" w:cs="Inter" w:eastAsia="Inter" w:hAnsi="Inter"/>
          <w:i w:val="false"/>
          <w:iCs w:val="false"/>
          <w:color w:val="2B2B33"/>
          <w:sz w:val="21"/>
          <w:szCs w:val="21"/>
        </w:rPr>
        <w:t xml:space="preserve">05 — Voice &amp; Tone</w:t>
      </w:r>
    </w:p>
    <w:p>
      <w:pPr>
        <w:spacing w:after="160" w:line="300"/>
      </w:pPr>
      <w:r>
        <w:rPr>
          <w:rFonts w:ascii="Inter" w:cs="Inter" w:eastAsia="Inter" w:hAnsi="Inter"/>
          <w:i w:val="false"/>
          <w:iCs w:val="false"/>
          <w:color w:val="2B2B33"/>
          <w:sz w:val="21"/>
          <w:szCs w:val="21"/>
        </w:rPr>
        <w:t xml:space="preserve">06 — Applications &amp; Governance</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Space Grotesk" w:cs="Space Grotesk" w:eastAsia="Space Grotesk" w:hAnsi="Space Grotesk"/>
          <w:b/>
          <w:bCs/>
          <w:color w:val="0A0F1E"/>
          <w:sz w:val="40"/>
          <w:szCs w:val="40"/>
        </w:rPr>
        <w:t xml:space="preserve">01 — Brand Overview</w:t>
      </w:r>
    </w:p>
    <w:p>
      <w:pPr>
        <w:pStyle w:val="Heading2"/>
        <w:spacing w:after="160" w:before="320"/>
      </w:pPr>
      <w:r>
        <w:rPr>
          <w:rFonts w:ascii="Space Grotesk" w:cs="Space Grotesk" w:eastAsia="Space Grotesk" w:hAnsi="Space Grotesk"/>
          <w:b/>
          <w:bCs/>
          <w:color w:val="2563EB"/>
          <w:sz w:val="28"/>
          <w:szCs w:val="28"/>
        </w:rPr>
        <w:t xml:space="preserve">Who We Are</w:t>
      </w:r>
    </w:p>
    <w:p>
      <w:pPr>
        <w:spacing w:after="160" w:line="300"/>
      </w:pPr>
      <w:r>
        <w:rPr>
          <w:rFonts w:ascii="Inter" w:cs="Inter" w:eastAsia="Inter" w:hAnsi="Inter"/>
          <w:i w:val="false"/>
          <w:iCs w:val="false"/>
          <w:color w:val="2B2B33"/>
          <w:sz w:val="21"/>
          <w:szCs w:val="21"/>
        </w:rPr>
        <w:t xml:space="preserve">NIAKX builds the operating layer for founders who move fast. Our flagship product, NIAKX LaunchKit, compresses the distance between an idea and a live, revenue-generating startup — replacing a stack of disconnected tools and freelancers with a single, AI-powered launch system.</w:t>
      </w:r>
    </w:p>
    <w:p>
      <w:pPr>
        <w:spacing w:after="160" w:line="300"/>
      </w:pPr>
      <w:r>
        <w:rPr>
          <w:rFonts w:ascii="Inter" w:cs="Inter" w:eastAsia="Inter" w:hAnsi="Inter"/>
          <w:i w:val="false"/>
          <w:iCs w:val="false"/>
          <w:color w:val="2B2B33"/>
          <w:sz w:val="21"/>
          <w:szCs w:val="21"/>
        </w:rPr>
        <w:t xml:space="preserve">This guide is the single source of truth for how NIAKX looks, sounds, and feels across every surface — product, marketing, investor materials, and partner co-branding. It exists so that anyone building for NIAKX, internally or externally, can do so with the precision the brand demands.</w:t>
      </w:r>
    </w:p>
    <w:p>
      <w:pPr>
        <w:pStyle w:val="Heading2"/>
        <w:spacing w:after="160" w:before="320"/>
      </w:pPr>
      <w:r>
        <w:rPr>
          <w:rFonts w:ascii="Space Grotesk" w:cs="Space Grotesk" w:eastAsia="Space Grotesk" w:hAnsi="Space Grotesk"/>
          <w:b/>
          <w:bCs/>
          <w:color w:val="2563EB"/>
          <w:sz w:val="28"/>
          <w:szCs w:val="28"/>
        </w:rPr>
        <w:t xml:space="preserve">Positioning</w:t>
      </w:r>
    </w:p>
    <w:p>
      <w:pPr>
        <w:spacing w:after="160" w:line="300"/>
      </w:pPr>
      <w:r>
        <w:rPr>
          <w:rFonts w:ascii="Inter" w:cs="Inter" w:eastAsia="Inter" w:hAnsi="Inter"/>
          <w:i/>
          <w:iCs/>
          <w:color w:val="2B2B33"/>
          <w:sz w:val="21"/>
          <w:szCs w:val="21"/>
        </w:rPr>
        <w:t xml:space="preserve">AI-powered digital products for modern founders.</w:t>
      </w:r>
    </w:p>
    <w:p>
      <w:pPr>
        <w:spacing w:after="160" w:line="300"/>
      </w:pPr>
      <w:r>
        <w:rPr>
          <w:rFonts w:ascii="Inter" w:cs="Inter" w:eastAsia="Inter" w:hAnsi="Inter"/>
          <w:i w:val="false"/>
          <w:iCs w:val="false"/>
          <w:color w:val="2B2B33"/>
          <w:sz w:val="21"/>
          <w:szCs w:val="21"/>
        </w:rPr>
        <w:t xml:space="preserve">NIAKX sits at the intersection of infrastructure and intelligence: not a template library, not a generic AI wrapper, but a structured system that takes a founder from zero to launched with the judgment of a world-class co-founder built in.</w:t>
      </w:r>
    </w:p>
    <w:p>
      <w:pPr>
        <w:pStyle w:val="Heading2"/>
        <w:spacing w:after="160" w:before="320"/>
      </w:pPr>
      <w:r>
        <w:rPr>
          <w:rFonts w:ascii="Space Grotesk" w:cs="Space Grotesk" w:eastAsia="Space Grotesk" w:hAnsi="Space Grotesk"/>
          <w:b/>
          <w:bCs/>
          <w:color w:val="2563EB"/>
          <w:sz w:val="28"/>
          <w:szCs w:val="28"/>
        </w:rPr>
        <w:t xml:space="preserve">Brand Pillars</w:t>
      </w:r>
    </w:p>
    <w:p>
      <w:pPr>
        <w:pStyle w:val="ListParagraph"/>
        <w:numPr>
          <w:ilvl w:val="0"/>
          <w:numId w:val="2"/>
        </w:numPr>
        <w:spacing w:after="100"/>
      </w:pPr>
      <w:r>
        <w:rPr>
          <w:rFonts w:ascii="Inter" w:cs="Inter" w:eastAsia="Inter" w:hAnsi="Inter"/>
          <w:color w:val="2B2B33"/>
          <w:sz w:val="21"/>
          <w:szCs w:val="21"/>
        </w:rPr>
        <w:t xml:space="preserve">Clarity — Every screen, sentence, and slide earns its place. We remove before we add.</w:t>
      </w:r>
    </w:p>
    <w:p>
      <w:pPr>
        <w:pStyle w:val="ListParagraph"/>
        <w:numPr>
          <w:ilvl w:val="0"/>
          <w:numId w:val="2"/>
        </w:numPr>
        <w:spacing w:after="100"/>
      </w:pPr>
      <w:r>
        <w:rPr>
          <w:rFonts w:ascii="Inter" w:cs="Inter" w:eastAsia="Inter" w:hAnsi="Inter"/>
          <w:color w:val="2B2B33"/>
          <w:sz w:val="21"/>
          <w:szCs w:val="21"/>
        </w:rPr>
        <w:t xml:space="preserve">Velocity — We are built for founders racing the clock. Speed is a feature, not a side effect.</w:t>
      </w:r>
    </w:p>
    <w:p>
      <w:pPr>
        <w:pStyle w:val="ListParagraph"/>
        <w:numPr>
          <w:ilvl w:val="0"/>
          <w:numId w:val="2"/>
        </w:numPr>
        <w:spacing w:after="100"/>
      </w:pPr>
      <w:r>
        <w:rPr>
          <w:rFonts w:ascii="Inter" w:cs="Inter" w:eastAsia="Inter" w:hAnsi="Inter"/>
          <w:color w:val="2B2B33"/>
          <w:sz w:val="21"/>
          <w:szCs w:val="21"/>
        </w:rPr>
        <w:t xml:space="preserve">Intelligence — AI is the engine, not the marketing. It should make founders feel capable, never replaced.</w:t>
      </w:r>
    </w:p>
    <w:p>
      <w:pPr>
        <w:pStyle w:val="ListParagraph"/>
        <w:numPr>
          <w:ilvl w:val="0"/>
          <w:numId w:val="2"/>
        </w:numPr>
        <w:spacing w:after="100"/>
      </w:pPr>
      <w:r>
        <w:rPr>
          <w:rFonts w:ascii="Inter" w:cs="Inter" w:eastAsia="Inter" w:hAnsi="Inter"/>
          <w:color w:val="2B2B33"/>
          <w:sz w:val="21"/>
          <w:szCs w:val="21"/>
        </w:rPr>
        <w:t xml:space="preserve">Craft — Premium is a discipline. Every pixel, word, and interaction reflects the standard our customers are trying to reach.</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Space Grotesk" w:cs="Space Grotesk" w:eastAsia="Space Grotesk" w:hAnsi="Space Grotesk"/>
          <w:b/>
          <w:bCs/>
          <w:color w:val="0A0F1E"/>
          <w:sz w:val="40"/>
          <w:szCs w:val="40"/>
        </w:rPr>
        <w:t xml:space="preserve">02 — Logo System</w:t>
      </w:r>
    </w:p>
    <w:p>
      <w:pPr>
        <w:pStyle w:val="Heading2"/>
        <w:spacing w:after="160" w:before="320"/>
      </w:pPr>
      <w:r>
        <w:rPr>
          <w:rFonts w:ascii="Space Grotesk" w:cs="Space Grotesk" w:eastAsia="Space Grotesk" w:hAnsi="Space Grotesk"/>
          <w:b/>
          <w:bCs/>
          <w:color w:val="2563EB"/>
          <w:sz w:val="28"/>
          <w:szCs w:val="28"/>
        </w:rPr>
        <w:t xml:space="preserve">Primary Logo</w:t>
      </w:r>
    </w:p>
    <w:p>
      <w:pPr>
        <w:spacing w:after="160" w:line="300"/>
      </w:pPr>
      <w:r>
        <w:rPr>
          <w:rFonts w:ascii="Inter" w:cs="Inter" w:eastAsia="Inter" w:hAnsi="Inter"/>
          <w:i w:val="false"/>
          <w:iCs w:val="false"/>
          <w:color w:val="2B2B33"/>
          <w:sz w:val="21"/>
          <w:szCs w:val="21"/>
        </w:rPr>
        <w:t xml:space="preserve">The primary lockup pairs the N symbol with the NIAKX wordmark, set in Space Grotesk Bold with wide tracking. Use this version whenever there is enough horizontal space and a light background.</w:t>
      </w:r>
    </w:p>
    <w:p>
      <w:pPr>
        <w:spacing w:after="120" w:before="120"/>
        <w:jc w:val="center"/>
      </w:pPr>
      <w:r>
        <w:drawing>
          <wp:inline distT="0" distB="0" distL="0" distR="0">
            <wp:extent cx="4000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066800"/>
                    </a:xfrm>
                    <a:prstGeom prst="rect">
                      <a:avLst/>
                    </a:prstGeom>
                  </pic:spPr>
                </pic:pic>
              </a:graphicData>
            </a:graphic>
          </wp:inline>
        </w:drawing>
      </w:r>
    </w:p>
    <w:p>
      <w:pPr>
        <w:spacing w:after="240"/>
      </w:pPr>
      <w:r>
        <w:rPr>
          <w:rFonts w:ascii="Inter" w:cs="Inter" w:eastAsia="Inter" w:hAnsi="Inter"/>
          <w:i/>
          <w:iCs/>
          <w:color w:val="94A3B8"/>
          <w:sz w:val="17"/>
          <w:szCs w:val="17"/>
        </w:rPr>
        <w:t xml:space="preserve">Primary logo — full color, on white.</w:t>
      </w:r>
    </w:p>
    <w:p>
      <w:pPr>
        <w:pStyle w:val="Heading2"/>
        <w:spacing w:after="160" w:before="320"/>
      </w:pPr>
      <w:r>
        <w:rPr>
          <w:rFonts w:ascii="Space Grotesk" w:cs="Space Grotesk" w:eastAsia="Space Grotesk" w:hAnsi="Space Grotesk"/>
          <w:b/>
          <w:bCs/>
          <w:color w:val="2563EB"/>
          <w:sz w:val="28"/>
          <w:szCs w:val="28"/>
        </w:rPr>
        <w:t xml:space="preserve">N Symbol</w:t>
      </w:r>
    </w:p>
    <w:p>
      <w:pPr>
        <w:spacing w:after="160" w:line="300"/>
      </w:pPr>
      <w:r>
        <w:rPr>
          <w:rFonts w:ascii="Inter" w:cs="Inter" w:eastAsia="Inter" w:hAnsi="Inter"/>
          <w:i w:val="false"/>
          <w:iCs w:val="false"/>
          <w:color w:val="2B2B33"/>
          <w:sz w:val="21"/>
          <w:szCs w:val="21"/>
        </w:rPr>
        <w:t xml:space="preserve">The N symbol is an abstract monogram: two structural bars anchor the mark while a rising diagonal — rendered in the Signal Blue → Ion Cyan gradient — reads as trajectory and momentum. It is the compressed expression of “Build. Launch. Scale.” and the only element that should ever be used alone (app icons, favicons, social avatars, loading states).</w:t>
      </w:r>
    </w:p>
    <w:p>
      <w:pPr>
        <w:spacing w:after="12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spacing w:after="240"/>
      </w:pPr>
      <w:r>
        <w:rPr>
          <w:rFonts w:ascii="Inter" w:cs="Inter" w:eastAsia="Inter" w:hAnsi="Inter"/>
          <w:i/>
          <w:iCs/>
          <w:color w:val="94A3B8"/>
          <w:sz w:val="17"/>
          <w:szCs w:val="17"/>
        </w:rPr>
        <w:t xml:space="preserve">N symbol — standalone mark.</w:t>
      </w:r>
    </w:p>
    <w:p>
      <w:pPr>
        <w:pStyle w:val="Heading2"/>
        <w:spacing w:after="160" w:before="320"/>
      </w:pPr>
      <w:r>
        <w:rPr>
          <w:rFonts w:ascii="Space Grotesk" w:cs="Space Grotesk" w:eastAsia="Space Grotesk" w:hAnsi="Space Grotesk"/>
          <w:b/>
          <w:bCs/>
          <w:color w:val="2563EB"/>
          <w:sz w:val="28"/>
          <w:szCs w:val="28"/>
        </w:rPr>
        <w:t xml:space="preserve">Light Version</w:t>
      </w:r>
    </w:p>
    <w:p>
      <w:pPr>
        <w:spacing w:after="160" w:line="300"/>
      </w:pPr>
      <w:r>
        <w:rPr>
          <w:rFonts w:ascii="Inter" w:cs="Inter" w:eastAsia="Inter" w:hAnsi="Inter"/>
          <w:i w:val="false"/>
          <w:iCs w:val="false"/>
          <w:color w:val="2B2B33"/>
          <w:sz w:val="21"/>
          <w:szCs w:val="21"/>
        </w:rPr>
        <w:t xml:space="preserve">For dark backgrounds, product UI in dark mode, and photography: the wordmark and bars invert to white, while the diagonal keeps its gradient for brand recognition.</w:t>
      </w:r>
    </w:p>
    <w:p>
      <w:pPr>
        <w:spacing w:after="120" w:before="120"/>
        <w:jc w:val="center"/>
      </w:pPr>
      <w:r>
        <w:drawing>
          <wp:inline distT="0" distB="0" distL="0" distR="0">
            <wp:extent cx="4000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066800"/>
                    </a:xfrm>
                    <a:prstGeom prst="rect">
                      <a:avLst/>
                    </a:prstGeom>
                  </pic:spPr>
                </pic:pic>
              </a:graphicData>
            </a:graphic>
          </wp:inline>
        </w:drawing>
      </w:r>
    </w:p>
    <w:p>
      <w:pPr>
        <w:spacing w:after="240"/>
      </w:pPr>
      <w:r>
        <w:rPr>
          <w:rFonts w:ascii="Inter" w:cs="Inter" w:eastAsia="Inter" w:hAnsi="Inter"/>
          <w:i/>
          <w:iCs/>
          <w:color w:val="94A3B8"/>
          <w:sz w:val="17"/>
          <w:szCs w:val="17"/>
        </w:rPr>
        <w:t xml:space="preserve">Light (reversed) version — on Void Navy.</w:t>
      </w:r>
    </w:p>
    <w:p>
      <w:pPr>
        <w:pStyle w:val="Heading2"/>
        <w:spacing w:after="160" w:before="320"/>
      </w:pPr>
      <w:r>
        <w:rPr>
          <w:rFonts w:ascii="Space Grotesk" w:cs="Space Grotesk" w:eastAsia="Space Grotesk" w:hAnsi="Space Grotesk"/>
          <w:b/>
          <w:bCs/>
          <w:color w:val="2563EB"/>
          <w:sz w:val="28"/>
          <w:szCs w:val="28"/>
        </w:rPr>
        <w:t xml:space="preserve">Dark Version</w:t>
      </w:r>
    </w:p>
    <w:p>
      <w:pPr>
        <w:spacing w:after="160" w:line="300"/>
      </w:pPr>
      <w:r>
        <w:rPr>
          <w:rFonts w:ascii="Inter" w:cs="Inter" w:eastAsia="Inter" w:hAnsi="Inter"/>
          <w:i w:val="false"/>
          <w:iCs w:val="false"/>
          <w:color w:val="2B2B33"/>
          <w:sz w:val="21"/>
          <w:szCs w:val="21"/>
        </w:rPr>
        <w:t xml:space="preserve">A fully monochrome rendering in Void Navy, for single-color print, embossing, engraving, or any context where the gradient cannot reproduce reliably.</w:t>
      </w:r>
    </w:p>
    <w:p>
      <w:pPr>
        <w:spacing w:after="120" w:before="120"/>
        <w:jc w:val="center"/>
      </w:pPr>
      <w:r>
        <w:drawing>
          <wp:inline distT="0" distB="0" distL="0" distR="0">
            <wp:extent cx="4000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066800"/>
                    </a:xfrm>
                    <a:prstGeom prst="rect">
                      <a:avLst/>
                    </a:prstGeom>
                  </pic:spPr>
                </pic:pic>
              </a:graphicData>
            </a:graphic>
          </wp:inline>
        </w:drawing>
      </w:r>
    </w:p>
    <w:p>
      <w:pPr>
        <w:spacing w:after="240"/>
      </w:pPr>
      <w:r>
        <w:rPr>
          <w:rFonts w:ascii="Inter" w:cs="Inter" w:eastAsia="Inter" w:hAnsi="Inter"/>
          <w:i/>
          <w:iCs/>
          <w:color w:val="94A3B8"/>
          <w:sz w:val="17"/>
          <w:szCs w:val="17"/>
        </w:rPr>
        <w:t xml:space="preserve">Dark (monochrome) version — on white.</w:t>
      </w:r>
    </w:p>
    <w:p>
      <w:pPr>
        <w:pStyle w:val="Heading2"/>
        <w:spacing w:after="160" w:before="320"/>
      </w:pPr>
      <w:r>
        <w:rPr>
          <w:rFonts w:ascii="Space Grotesk" w:cs="Space Grotesk" w:eastAsia="Space Grotesk" w:hAnsi="Space Grotesk"/>
          <w:b/>
          <w:bCs/>
          <w:color w:val="2563EB"/>
          <w:sz w:val="28"/>
          <w:szCs w:val="28"/>
        </w:rPr>
        <w:t xml:space="preserve">Favicon</w:t>
      </w:r>
    </w:p>
    <w:p>
      <w:pPr>
        <w:spacing w:after="160" w:line="300"/>
      </w:pPr>
      <w:r>
        <w:rPr>
          <w:rFonts w:ascii="Inter" w:cs="Inter" w:eastAsia="Inter" w:hAnsi="Inter"/>
          <w:i w:val="false"/>
          <w:iCs w:val="false"/>
          <w:color w:val="2B2B33"/>
          <w:sz w:val="21"/>
          <w:szCs w:val="21"/>
        </w:rPr>
        <w:t xml:space="preserve">A simplified, high-contrast tile of the N symbol on a Void Navy rounded square, tuned for legibility at 16–32px (browser tabs, bookmarks, notification icons).</w:t>
      </w:r>
    </w:p>
    <w:p>
      <w:pPr>
        <w:spacing w:after="120" w:before="120"/>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 cy="685800"/>
                    </a:xfrm>
                    <a:prstGeom prst="rect">
                      <a:avLst/>
                    </a:prstGeom>
                  </pic:spPr>
                </pic:pic>
              </a:graphicData>
            </a:graphic>
          </wp:inline>
        </w:drawing>
      </w:r>
    </w:p>
    <w:p>
      <w:pPr>
        <w:spacing w:after="240"/>
      </w:pPr>
      <w:r>
        <w:rPr>
          <w:rFonts w:ascii="Inter" w:cs="Inter" w:eastAsia="Inter" w:hAnsi="Inter"/>
          <w:i/>
          <w:iCs/>
          <w:color w:val="94A3B8"/>
          <w:sz w:val="17"/>
          <w:szCs w:val="17"/>
        </w:rPr>
        <w:t xml:space="preserve">Favicon / app icon tile.</w:t>
      </w:r>
    </w:p>
    <w:p>
      <w:pPr>
        <w:pStyle w:val="Heading2"/>
        <w:spacing w:after="160" w:before="320"/>
      </w:pPr>
      <w:r>
        <w:rPr>
          <w:rFonts w:ascii="Space Grotesk" w:cs="Space Grotesk" w:eastAsia="Space Grotesk" w:hAnsi="Space Grotesk"/>
          <w:b/>
          <w:bCs/>
          <w:color w:val="2563EB"/>
          <w:sz w:val="28"/>
          <w:szCs w:val="28"/>
        </w:rPr>
        <w:t xml:space="preserve">Clearspace &amp; Minimum Size</w:t>
      </w:r>
    </w:p>
    <w:p>
      <w:pPr>
        <w:spacing w:after="160" w:line="300"/>
      </w:pPr>
      <w:r>
        <w:rPr>
          <w:rFonts w:ascii="Inter" w:cs="Inter" w:eastAsia="Inter" w:hAnsi="Inter"/>
          <w:i w:val="false"/>
          <w:iCs w:val="false"/>
          <w:color w:val="2B2B33"/>
          <w:sz w:val="21"/>
          <w:szCs w:val="21"/>
        </w:rPr>
        <w:t xml:space="preserve">Maintain clearspace equal to the height of one N-symbol bar on all sides of the logo — no text, icons, or edges may enter this zone. Minimum size is 24px (or 0.25in in print) tall for the symbol alone, and 100px (or 1in) wide for the full lockup, below which the wordmark loses legibility.</w:t>
      </w:r>
    </w:p>
    <w:p>
      <w:pPr>
        <w:pStyle w:val="Heading2"/>
        <w:spacing w:after="160" w:before="320"/>
      </w:pPr>
      <w:r>
        <w:rPr>
          <w:rFonts w:ascii="Space Grotesk" w:cs="Space Grotesk" w:eastAsia="Space Grotesk" w:hAnsi="Space Grotesk"/>
          <w:b/>
          <w:bCs/>
          <w:color w:val="2563EB"/>
          <w:sz w:val="28"/>
          <w:szCs w:val="28"/>
        </w:rPr>
        <w:t xml:space="preserve">Usage Rules</w:t>
      </w:r>
    </w:p>
    <w:p>
      <w:pPr>
        <w:pStyle w:val="ListParagraph"/>
        <w:numPr>
          <w:ilvl w:val="0"/>
          <w:numId w:val="2"/>
        </w:numPr>
        <w:spacing w:after="100"/>
      </w:pPr>
      <w:r>
        <w:rPr>
          <w:rFonts w:ascii="Inter" w:cs="Inter" w:eastAsia="Inter" w:hAnsi="Inter"/>
          <w:color w:val="2B2B33"/>
          <w:sz w:val="21"/>
          <w:szCs w:val="21"/>
        </w:rPr>
        <w:t xml:space="preserve">Do not stretch, skew, or rotate the symbol or wordmark.</w:t>
      </w:r>
    </w:p>
    <w:p>
      <w:pPr>
        <w:pStyle w:val="ListParagraph"/>
        <w:numPr>
          <w:ilvl w:val="0"/>
          <w:numId w:val="2"/>
        </w:numPr>
        <w:spacing w:after="100"/>
      </w:pPr>
      <w:r>
        <w:rPr>
          <w:rFonts w:ascii="Inter" w:cs="Inter" w:eastAsia="Inter" w:hAnsi="Inter"/>
          <w:color w:val="2B2B33"/>
          <w:sz w:val="21"/>
          <w:szCs w:val="21"/>
        </w:rPr>
        <w:t xml:space="preserve">Do not recolor the diagonal gradient — it is a fixed brand asset, not a decorative element.</w:t>
      </w:r>
    </w:p>
    <w:p>
      <w:pPr>
        <w:pStyle w:val="ListParagraph"/>
        <w:numPr>
          <w:ilvl w:val="0"/>
          <w:numId w:val="2"/>
        </w:numPr>
        <w:spacing w:after="100"/>
      </w:pPr>
      <w:r>
        <w:rPr>
          <w:rFonts w:ascii="Inter" w:cs="Inter" w:eastAsia="Inter" w:hAnsi="Inter"/>
          <w:color w:val="2B2B33"/>
          <w:sz w:val="21"/>
          <w:szCs w:val="21"/>
        </w:rPr>
        <w:t xml:space="preserve">Do not add drop shadows, bevels, outlines, or other effects.</w:t>
      </w:r>
    </w:p>
    <w:p>
      <w:pPr>
        <w:pStyle w:val="ListParagraph"/>
        <w:numPr>
          <w:ilvl w:val="0"/>
          <w:numId w:val="2"/>
        </w:numPr>
        <w:spacing w:after="100"/>
      </w:pPr>
      <w:r>
        <w:rPr>
          <w:rFonts w:ascii="Inter" w:cs="Inter" w:eastAsia="Inter" w:hAnsi="Inter"/>
          <w:color w:val="2B2B33"/>
          <w:sz w:val="21"/>
          <w:szCs w:val="21"/>
        </w:rPr>
        <w:t xml:space="preserve">Do not place the full-color or dark logo on backgrounds with insufficient contrast.</w:t>
      </w:r>
    </w:p>
    <w:p>
      <w:pPr>
        <w:pStyle w:val="ListParagraph"/>
        <w:numPr>
          <w:ilvl w:val="0"/>
          <w:numId w:val="2"/>
        </w:numPr>
        <w:spacing w:after="100"/>
      </w:pPr>
      <w:r>
        <w:rPr>
          <w:rFonts w:ascii="Inter" w:cs="Inter" w:eastAsia="Inter" w:hAnsi="Inter"/>
          <w:color w:val="2B2B33"/>
          <w:sz w:val="21"/>
          <w:szCs w:val="21"/>
        </w:rPr>
        <w:t xml:space="preserve">Do not recreate the wordmark in a different typeface, weight, or tracking.</w:t>
      </w:r>
    </w:p>
    <w:p>
      <w:pPr>
        <w:pStyle w:val="ListParagraph"/>
        <w:numPr>
          <w:ilvl w:val="0"/>
          <w:numId w:val="2"/>
        </w:numPr>
        <w:spacing w:after="100"/>
      </w:pPr>
      <w:r>
        <w:rPr>
          <w:rFonts w:ascii="Inter" w:cs="Inter" w:eastAsia="Inter" w:hAnsi="Inter"/>
          <w:color w:val="2B2B33"/>
          <w:sz w:val="21"/>
          <w:szCs w:val="21"/>
        </w:rPr>
        <w:t xml:space="preserve">Do not combine the symbol with a second logo, badge, or partner mark without approved co-branding spacing.</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Space Grotesk" w:cs="Space Grotesk" w:eastAsia="Space Grotesk" w:hAnsi="Space Grotesk"/>
          <w:b/>
          <w:bCs/>
          <w:color w:val="0A0F1E"/>
          <w:sz w:val="40"/>
          <w:szCs w:val="40"/>
        </w:rPr>
        <w:t xml:space="preserve">03 — Color Palette</w:t>
      </w:r>
    </w:p>
    <w:p>
      <w:pPr>
        <w:spacing w:after="160" w:line="300"/>
      </w:pPr>
      <w:r>
        <w:rPr>
          <w:rFonts w:ascii="Inter" w:cs="Inter" w:eastAsia="Inter" w:hAnsi="Inter"/>
          <w:i w:val="false"/>
          <w:iCs w:val="false"/>
          <w:color w:val="2B2B33"/>
          <w:sz w:val="21"/>
          <w:szCs w:val="21"/>
        </w:rPr>
        <w:t xml:space="preserve">NIAKX color is built for high-contrast, dark-first product surfaces with a precise electric accent — closer to a flight instrument panel than a consumer app. One color leads, one accents, the rest support.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0A0F1E" w:color="auto" w:val="clear"/>
            <w:vAlign w:val="center"/>
          </w:tcPr>
          <w:p>
            <w:r>
              <w:rPr>
                <w:rFonts w:ascii="Space Grotesk" w:cs="Space Grotesk" w:eastAsia="Space Grotesk" w:hAnsi="Space Grotesk"/>
                <w:b/>
                <w:bCs/>
                <w:color w:val="FFFFFF"/>
                <w:sz w:val="18"/>
                <w:szCs w:val="18"/>
              </w:rPr>
              <w:t xml:space="preserve">Swatch</w:t>
            </w:r>
          </w:p>
        </w:tc>
        <w:tc>
          <w:tcPr>
            <w:tcW w:type="dxa" w:w="2200"/>
            <w:shd w:fill="0A0F1E" w:color="auto" w:val="clear"/>
            <w:vAlign w:val="center"/>
          </w:tcPr>
          <w:p>
            <w:r>
              <w:rPr>
                <w:rFonts w:ascii="Space Grotesk" w:cs="Space Grotesk" w:eastAsia="Space Grotesk" w:hAnsi="Space Grotesk"/>
                <w:b/>
                <w:bCs/>
                <w:color w:val="FFFFFF"/>
                <w:sz w:val="18"/>
                <w:szCs w:val="18"/>
              </w:rPr>
              <w:t xml:space="preserve">Name</w:t>
            </w:r>
          </w:p>
        </w:tc>
        <w:tc>
          <w:tcPr>
            <w:tcW w:type="dxa" w:w="1600"/>
            <w:shd w:fill="0A0F1E" w:color="auto" w:val="clear"/>
            <w:vAlign w:val="center"/>
          </w:tcPr>
          <w:p>
            <w:r>
              <w:rPr>
                <w:rFonts w:ascii="Space Grotesk" w:cs="Space Grotesk" w:eastAsia="Space Grotesk" w:hAnsi="Space Grotesk"/>
                <w:b/>
                <w:bCs/>
                <w:color w:val="FFFFFF"/>
                <w:sz w:val="18"/>
                <w:szCs w:val="18"/>
              </w:rPr>
              <w:t xml:space="preserve">Hex</w:t>
            </w:r>
          </w:p>
        </w:tc>
        <w:tc>
          <w:tcPr>
            <w:tcW w:type="dxa" w:w="4000"/>
            <w:shd w:fill="0A0F1E" w:color="auto" w:val="clear"/>
            <w:vAlign w:val="center"/>
          </w:tcPr>
          <w:p>
            <w:r>
              <w:rPr>
                <w:rFonts w:ascii="Space Grotesk" w:cs="Space Grotesk" w:eastAsia="Space Grotesk" w:hAnsi="Space Grotesk"/>
                <w:b/>
                <w:bCs/>
                <w:color w:val="FFFFFF"/>
                <w:sz w:val="18"/>
                <w:szCs w:val="18"/>
              </w:rPr>
              <w:t xml:space="preserve">Usage</w:t>
            </w:r>
          </w:p>
        </w:tc>
      </w:tr>
      <w:tr>
        <w:tc>
          <w:tcPr>
            <w:tcW w:type="dxa" w:w="1500"/>
            <w:shd w:fill="0A0F1E" w:color="auto" w:val="clear"/>
            <w:vAlign w:val="center"/>
          </w:tcPr>
          <w:p>
            <w:r>
              <w:rPr>
                <w:sz w:val="2"/>
                <w:szCs w:val="2"/>
              </w:rPr>
              <w:t xml:space="preserve"/>
            </w:r>
          </w:p>
        </w:tc>
        <w:tc>
          <w:tcPr>
            <w:tcW w:type="dxa" w:w="2200"/>
            <w:vAlign w:val="center"/>
          </w:tcPr>
          <w:p>
            <w:r>
              <w:rPr>
                <w:rFonts w:ascii="Space Grotesk" w:cs="Space Grotesk" w:eastAsia="Space Grotesk" w:hAnsi="Space Grotesk"/>
                <w:b/>
                <w:bCs/>
                <w:color w:val="0A0F1E"/>
                <w:sz w:val="20"/>
                <w:szCs w:val="20"/>
              </w:rPr>
              <w:t xml:space="preserve">Void Navy</w:t>
            </w:r>
          </w:p>
        </w:tc>
        <w:tc>
          <w:tcPr>
            <w:tcW w:type="dxa" w:w="1600"/>
            <w:vAlign w:val="center"/>
          </w:tcPr>
          <w:p>
            <w:r>
              <w:rPr>
                <w:rFonts w:ascii="Courier New" w:cs="Courier New" w:eastAsia="Courier New" w:hAnsi="Courier New"/>
                <w:color w:val="44475A"/>
                <w:sz w:val="19"/>
                <w:szCs w:val="19"/>
              </w:rPr>
              <w:t xml:space="preserve">#0A0F1E</w:t>
            </w:r>
          </w:p>
        </w:tc>
        <w:tc>
          <w:tcPr>
            <w:tcW w:type="dxa" w:w="4000"/>
            <w:vAlign w:val="center"/>
          </w:tcPr>
          <w:p>
            <w:r>
              <w:rPr>
                <w:rFonts w:ascii="Inter" w:cs="Inter" w:eastAsia="Inter" w:hAnsi="Inter"/>
                <w:color w:val="44475A"/>
                <w:sz w:val="19"/>
                <w:szCs w:val="19"/>
              </w:rPr>
              <w:t xml:space="preserve">Primary background. The default canvas for dark-mode product, decks, and the website.</w:t>
            </w:r>
          </w:p>
        </w:tc>
      </w:tr>
      <w:tr>
        <w:tc>
          <w:tcPr>
            <w:tcW w:type="dxa" w:w="1500"/>
            <w:shd w:fill="2563EB" w:color="auto" w:val="clear"/>
            <w:vAlign w:val="center"/>
          </w:tcPr>
          <w:p>
            <w:r>
              <w:rPr>
                <w:sz w:val="2"/>
                <w:szCs w:val="2"/>
              </w:rPr>
              <w:t xml:space="preserve"/>
            </w:r>
          </w:p>
        </w:tc>
        <w:tc>
          <w:tcPr>
            <w:tcW w:type="dxa" w:w="2200"/>
            <w:vAlign w:val="center"/>
          </w:tcPr>
          <w:p>
            <w:r>
              <w:rPr>
                <w:rFonts w:ascii="Space Grotesk" w:cs="Space Grotesk" w:eastAsia="Space Grotesk" w:hAnsi="Space Grotesk"/>
                <w:b/>
                <w:bCs/>
                <w:color w:val="0A0F1E"/>
                <w:sz w:val="20"/>
                <w:szCs w:val="20"/>
              </w:rPr>
              <w:t xml:space="preserve">Signal Blue</w:t>
            </w:r>
          </w:p>
        </w:tc>
        <w:tc>
          <w:tcPr>
            <w:tcW w:type="dxa" w:w="1600"/>
            <w:vAlign w:val="center"/>
          </w:tcPr>
          <w:p>
            <w:r>
              <w:rPr>
                <w:rFonts w:ascii="Courier New" w:cs="Courier New" w:eastAsia="Courier New" w:hAnsi="Courier New"/>
                <w:color w:val="44475A"/>
                <w:sz w:val="19"/>
                <w:szCs w:val="19"/>
              </w:rPr>
              <w:t xml:space="preserve">#2563EB</w:t>
            </w:r>
          </w:p>
        </w:tc>
        <w:tc>
          <w:tcPr>
            <w:tcW w:type="dxa" w:w="4000"/>
            <w:vAlign w:val="center"/>
          </w:tcPr>
          <w:p>
            <w:r>
              <w:rPr>
                <w:rFonts w:ascii="Inter" w:cs="Inter" w:eastAsia="Inter" w:hAnsi="Inter"/>
                <w:color w:val="44475A"/>
                <w:sz w:val="19"/>
                <w:szCs w:val="19"/>
              </w:rPr>
              <w:t xml:space="preserve">Primary brand color. Buttons, links, active states, the base of the gradient accent.</w:t>
            </w:r>
          </w:p>
        </w:tc>
      </w:tr>
      <w:tr>
        <w:tc>
          <w:tcPr>
            <w:tcW w:type="dxa" w:w="1500"/>
            <w:shd w:fill="00C2FF" w:color="auto" w:val="clear"/>
            <w:vAlign w:val="center"/>
          </w:tcPr>
          <w:p>
            <w:r>
              <w:rPr>
                <w:sz w:val="2"/>
                <w:szCs w:val="2"/>
              </w:rPr>
              <w:t xml:space="preserve"/>
            </w:r>
          </w:p>
        </w:tc>
        <w:tc>
          <w:tcPr>
            <w:tcW w:type="dxa" w:w="2200"/>
            <w:vAlign w:val="center"/>
          </w:tcPr>
          <w:p>
            <w:r>
              <w:rPr>
                <w:rFonts w:ascii="Space Grotesk" w:cs="Space Grotesk" w:eastAsia="Space Grotesk" w:hAnsi="Space Grotesk"/>
                <w:b/>
                <w:bCs/>
                <w:color w:val="0A0F1E"/>
                <w:sz w:val="20"/>
                <w:szCs w:val="20"/>
              </w:rPr>
              <w:t xml:space="preserve">Ion Cyan</w:t>
            </w:r>
          </w:p>
        </w:tc>
        <w:tc>
          <w:tcPr>
            <w:tcW w:type="dxa" w:w="1600"/>
            <w:vAlign w:val="center"/>
          </w:tcPr>
          <w:p>
            <w:r>
              <w:rPr>
                <w:rFonts w:ascii="Courier New" w:cs="Courier New" w:eastAsia="Courier New" w:hAnsi="Courier New"/>
                <w:color w:val="44475A"/>
                <w:sz w:val="19"/>
                <w:szCs w:val="19"/>
              </w:rPr>
              <w:t xml:space="preserve">#00C2FF</w:t>
            </w:r>
          </w:p>
        </w:tc>
        <w:tc>
          <w:tcPr>
            <w:tcW w:type="dxa" w:w="4000"/>
            <w:vAlign w:val="center"/>
          </w:tcPr>
          <w:p>
            <w:r>
              <w:rPr>
                <w:rFonts w:ascii="Inter" w:cs="Inter" w:eastAsia="Inter" w:hAnsi="Inter"/>
                <w:color w:val="44475A"/>
                <w:sz w:val="19"/>
                <w:szCs w:val="19"/>
              </w:rPr>
              <w:t xml:space="preserve">High-energy accent. Gradient endpoint, highlights, data visualization, hover states.</w:t>
            </w:r>
          </w:p>
        </w:tc>
      </w:tr>
      <w:tr>
        <w:tc>
          <w:tcPr>
            <w:tcW w:type="dxa" w:w="1500"/>
            <w:shd w:fill="FFFFFF" w:color="auto" w:val="clear"/>
            <w:vAlign w:val="center"/>
          </w:tcPr>
          <w:p>
            <w:r>
              <w:rPr>
                <w:sz w:val="2"/>
                <w:szCs w:val="2"/>
              </w:rPr>
              <w:t xml:space="preserve"/>
            </w:r>
          </w:p>
        </w:tc>
        <w:tc>
          <w:tcPr>
            <w:tcW w:type="dxa" w:w="2200"/>
            <w:vAlign w:val="center"/>
          </w:tcPr>
          <w:p>
            <w:r>
              <w:rPr>
                <w:rFonts w:ascii="Space Grotesk" w:cs="Space Grotesk" w:eastAsia="Space Grotesk" w:hAnsi="Space Grotesk"/>
                <w:b/>
                <w:bCs/>
                <w:color w:val="0A0F1E"/>
                <w:sz w:val="20"/>
                <w:szCs w:val="20"/>
              </w:rPr>
              <w:t xml:space="preserve">Pure White</w:t>
            </w:r>
          </w:p>
        </w:tc>
        <w:tc>
          <w:tcPr>
            <w:tcW w:type="dxa" w:w="1600"/>
            <w:vAlign w:val="center"/>
          </w:tcPr>
          <w:p>
            <w:r>
              <w:rPr>
                <w:rFonts w:ascii="Courier New" w:cs="Courier New" w:eastAsia="Courier New" w:hAnsi="Courier New"/>
                <w:color w:val="44475A"/>
                <w:sz w:val="19"/>
                <w:szCs w:val="19"/>
              </w:rPr>
              <w:t xml:space="preserve">#FFFFFF</w:t>
            </w:r>
          </w:p>
        </w:tc>
        <w:tc>
          <w:tcPr>
            <w:tcW w:type="dxa" w:w="4000"/>
            <w:vAlign w:val="center"/>
          </w:tcPr>
          <w:p>
            <w:r>
              <w:rPr>
                <w:rFonts w:ascii="Inter" w:cs="Inter" w:eastAsia="Inter" w:hAnsi="Inter"/>
                <w:color w:val="44475A"/>
                <w:sz w:val="19"/>
                <w:szCs w:val="19"/>
              </w:rPr>
              <w:t xml:space="preserve">Reversed text and iconography on dark surfaces; light-mode background.</w:t>
            </w:r>
          </w:p>
        </w:tc>
      </w:tr>
      <w:tr>
        <w:tc>
          <w:tcPr>
            <w:tcW w:type="dxa" w:w="1500"/>
            <w:shd w:fill="1F1F2E" w:color="auto" w:val="clear"/>
            <w:vAlign w:val="center"/>
          </w:tcPr>
          <w:p>
            <w:r>
              <w:rPr>
                <w:sz w:val="2"/>
                <w:szCs w:val="2"/>
              </w:rPr>
              <w:t xml:space="preserve"/>
            </w:r>
          </w:p>
        </w:tc>
        <w:tc>
          <w:tcPr>
            <w:tcW w:type="dxa" w:w="2200"/>
            <w:vAlign w:val="center"/>
          </w:tcPr>
          <w:p>
            <w:r>
              <w:rPr>
                <w:rFonts w:ascii="Space Grotesk" w:cs="Space Grotesk" w:eastAsia="Space Grotesk" w:hAnsi="Space Grotesk"/>
                <w:b/>
                <w:bCs/>
                <w:color w:val="0A0F1E"/>
                <w:sz w:val="20"/>
                <w:szCs w:val="20"/>
              </w:rPr>
              <w:t xml:space="preserve">Slate Surface</w:t>
            </w:r>
          </w:p>
        </w:tc>
        <w:tc>
          <w:tcPr>
            <w:tcW w:type="dxa" w:w="1600"/>
            <w:vAlign w:val="center"/>
          </w:tcPr>
          <w:p>
            <w:r>
              <w:rPr>
                <w:rFonts w:ascii="Courier New" w:cs="Courier New" w:eastAsia="Courier New" w:hAnsi="Courier New"/>
                <w:color w:val="44475A"/>
                <w:sz w:val="19"/>
                <w:szCs w:val="19"/>
              </w:rPr>
              <w:t xml:space="preserve">#1F1F2E</w:t>
            </w:r>
          </w:p>
        </w:tc>
        <w:tc>
          <w:tcPr>
            <w:tcW w:type="dxa" w:w="4000"/>
            <w:vAlign w:val="center"/>
          </w:tcPr>
          <w:p>
            <w:r>
              <w:rPr>
                <w:rFonts w:ascii="Inter" w:cs="Inter" w:eastAsia="Inter" w:hAnsi="Inter"/>
                <w:color w:val="44475A"/>
                <w:sz w:val="19"/>
                <w:szCs w:val="19"/>
              </w:rPr>
              <w:t xml:space="preserve">Secondary dark surface — cards, panels, and modals layered above Void Navy.</w:t>
            </w:r>
          </w:p>
        </w:tc>
      </w:tr>
      <w:tr>
        <w:tc>
          <w:tcPr>
            <w:tcW w:type="dxa" w:w="1500"/>
            <w:shd w:fill="94A3B8" w:color="auto" w:val="clear"/>
            <w:vAlign w:val="center"/>
          </w:tcPr>
          <w:p>
            <w:r>
              <w:rPr>
                <w:sz w:val="2"/>
                <w:szCs w:val="2"/>
              </w:rPr>
              <w:t xml:space="preserve"/>
            </w:r>
          </w:p>
        </w:tc>
        <w:tc>
          <w:tcPr>
            <w:tcW w:type="dxa" w:w="2200"/>
            <w:vAlign w:val="center"/>
          </w:tcPr>
          <w:p>
            <w:r>
              <w:rPr>
                <w:rFonts w:ascii="Space Grotesk" w:cs="Space Grotesk" w:eastAsia="Space Grotesk" w:hAnsi="Space Grotesk"/>
                <w:b/>
                <w:bCs/>
                <w:color w:val="0A0F1E"/>
                <w:sz w:val="20"/>
                <w:szCs w:val="20"/>
              </w:rPr>
              <w:t xml:space="preserve">Fog Grey</w:t>
            </w:r>
          </w:p>
        </w:tc>
        <w:tc>
          <w:tcPr>
            <w:tcW w:type="dxa" w:w="1600"/>
            <w:vAlign w:val="center"/>
          </w:tcPr>
          <w:p>
            <w:r>
              <w:rPr>
                <w:rFonts w:ascii="Courier New" w:cs="Courier New" w:eastAsia="Courier New" w:hAnsi="Courier New"/>
                <w:color w:val="44475A"/>
                <w:sz w:val="19"/>
                <w:szCs w:val="19"/>
              </w:rPr>
              <w:t xml:space="preserve">#94A3B8</w:t>
            </w:r>
          </w:p>
        </w:tc>
        <w:tc>
          <w:tcPr>
            <w:tcW w:type="dxa" w:w="4000"/>
            <w:vAlign w:val="center"/>
          </w:tcPr>
          <w:p>
            <w:r>
              <w:rPr>
                <w:rFonts w:ascii="Inter" w:cs="Inter" w:eastAsia="Inter" w:hAnsi="Inter"/>
                <w:color w:val="44475A"/>
                <w:sz w:val="19"/>
                <w:szCs w:val="19"/>
              </w:rPr>
              <w:t xml:space="preserve">Muted text, borders, dividers, and secondary/disabled UI states.</w:t>
            </w:r>
          </w:p>
        </w:tc>
      </w:tr>
    </w:tbl>
    <w:p>
      <w:pPr>
        <w:spacing w:before="240"/>
      </w:pPr>
    </w:p>
    <w:p>
      <w:pPr>
        <w:pStyle w:val="Heading2"/>
        <w:spacing w:after="160" w:before="320"/>
      </w:pPr>
      <w:r>
        <w:rPr>
          <w:rFonts w:ascii="Space Grotesk" w:cs="Space Grotesk" w:eastAsia="Space Grotesk" w:hAnsi="Space Grotesk"/>
          <w:b/>
          <w:bCs/>
          <w:color w:val="2563EB"/>
          <w:sz w:val="28"/>
          <w:szCs w:val="28"/>
        </w:rPr>
        <w:t xml:space="preserve">Usage Ratios</w:t>
      </w:r>
    </w:p>
    <w:p>
      <w:pPr>
        <w:spacing w:after="160" w:line="300"/>
      </w:pPr>
      <w:r>
        <w:rPr>
          <w:rFonts w:ascii="Inter" w:cs="Inter" w:eastAsia="Inter" w:hAnsi="Inter"/>
          <w:i w:val="false"/>
          <w:iCs w:val="false"/>
          <w:color w:val="2B2B33"/>
          <w:sz w:val="21"/>
          <w:szCs w:val="21"/>
        </w:rPr>
        <w:t xml:space="preserve">Apply an approximate 60 / 30 / 10 split: Void Navy carries 60% of any surface as the dominant background; Slate Surface and Fog Grey together cover 30% as structure and secondary content; Signal Blue and Ion Cyan are reserved for the remaining 10% — the moments that should draw the eye (primary actions, key metrics, the logo).</w:t>
      </w:r>
    </w:p>
    <w:p>
      <w:pPr>
        <w:pStyle w:val="Heading2"/>
        <w:spacing w:after="160" w:before="320"/>
      </w:pPr>
      <w:r>
        <w:rPr>
          <w:rFonts w:ascii="Space Grotesk" w:cs="Space Grotesk" w:eastAsia="Space Grotesk" w:hAnsi="Space Grotesk"/>
          <w:b/>
          <w:bCs/>
          <w:color w:val="2563EB"/>
          <w:sz w:val="28"/>
          <w:szCs w:val="28"/>
        </w:rPr>
        <w:t xml:space="preserve">Accessibility</w:t>
      </w:r>
    </w:p>
    <w:p>
      <w:pPr>
        <w:spacing w:after="160" w:line="300"/>
      </w:pPr>
      <w:r>
        <w:rPr>
          <w:rFonts w:ascii="Inter" w:cs="Inter" w:eastAsia="Inter" w:hAnsi="Inter"/>
          <w:i w:val="false"/>
          <w:iCs w:val="false"/>
          <w:color w:val="2B2B33"/>
          <w:sz w:val="21"/>
          <w:szCs w:val="21"/>
        </w:rPr>
        <w:t xml:space="preserve">Pure White text on Void Navy or Slate Surface exceeds WCAG AA for body copy. Signal Blue on Void Navy passes AA for large text and UI components; for small body text on dark surfaces, default to Pure White or Fog Grey instead of Signal Blue.</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Space Grotesk" w:cs="Space Grotesk" w:eastAsia="Space Grotesk" w:hAnsi="Space Grotesk"/>
          <w:b/>
          <w:bCs/>
          <w:color w:val="0A0F1E"/>
          <w:sz w:val="40"/>
          <w:szCs w:val="40"/>
        </w:rPr>
        <w:t xml:space="preserve">04 — Typography</w:t>
      </w:r>
    </w:p>
    <w:p>
      <w:pPr>
        <w:spacing w:after="160" w:line="300"/>
      </w:pPr>
      <w:r>
        <w:rPr>
          <w:rFonts w:ascii="Inter" w:cs="Inter" w:eastAsia="Inter" w:hAnsi="Inter"/>
          <w:i w:val="false"/>
          <w:iCs w:val="false"/>
          <w:color w:val="2B2B33"/>
          <w:sz w:val="21"/>
          <w:szCs w:val="21"/>
        </w:rPr>
        <w:t xml:space="preserve">Two typefaces carry the entire system. Space Grotesk gives NIAKX its technical, slightly architectural personality at display sizes. Inter handles everything that needs to be read quickly and precisely — body copy, UI, tables, documentation.</w:t>
      </w:r>
    </w:p>
    <w:p>
      <w:pPr>
        <w:pStyle w:val="Heading2"/>
        <w:spacing w:after="160" w:before="320"/>
      </w:pPr>
      <w:r>
        <w:rPr>
          <w:rFonts w:ascii="Space Grotesk" w:cs="Space Grotesk" w:eastAsia="Space Grotesk" w:hAnsi="Space Grotesk"/>
          <w:b/>
          <w:bCs/>
          <w:color w:val="2563EB"/>
          <w:sz w:val="28"/>
          <w:szCs w:val="28"/>
        </w:rPr>
        <w:t xml:space="preserve">Typefaces</w:t>
      </w:r>
    </w:p>
    <w:p>
      <w:pPr>
        <w:pStyle w:val="ListParagraph"/>
        <w:numPr>
          <w:ilvl w:val="0"/>
          <w:numId w:val="2"/>
        </w:numPr>
        <w:spacing w:after="100"/>
      </w:pPr>
      <w:r>
        <w:rPr>
          <w:rFonts w:ascii="Inter" w:cs="Inter" w:eastAsia="Inter" w:hAnsi="Inter"/>
          <w:color w:val="2B2B33"/>
          <w:sz w:val="21"/>
          <w:szCs w:val="21"/>
        </w:rPr>
        <w:t xml:space="preserve">Space Grotesk — Headlines, product name, section titles, pull quotes, slide titles. Use Medium (500) for most headings and Bold (700) for hero moments and the wordmark.</w:t>
      </w:r>
    </w:p>
    <w:p>
      <w:pPr>
        <w:pStyle w:val="ListParagraph"/>
        <w:numPr>
          <w:ilvl w:val="0"/>
          <w:numId w:val="2"/>
        </w:numPr>
        <w:spacing w:after="100"/>
      </w:pPr>
      <w:r>
        <w:rPr>
          <w:rFonts w:ascii="Inter" w:cs="Inter" w:eastAsia="Inter" w:hAnsi="Inter"/>
          <w:color w:val="2B2B33"/>
          <w:sz w:val="21"/>
          <w:szCs w:val="21"/>
        </w:rPr>
        <w:t xml:space="preserve">Inter — Body copy, UI labels, forms, tables, captions, and all long-form documentation. Use Regular (400) for body, Medium (500) for emphasis and labels, Semibold (600) for buttons and short UI strings.</w:t>
      </w:r>
    </w:p>
    <w:p>
      <w:pPr>
        <w:spacing w:before="200"/>
      </w:pPr>
    </w:p>
    <w:p>
      <w:pPr>
        <w:pStyle w:val="Heading2"/>
        <w:spacing w:after="160" w:before="320"/>
      </w:pPr>
      <w:r>
        <w:rPr>
          <w:rFonts w:ascii="Space Grotesk" w:cs="Space Grotesk" w:eastAsia="Space Grotesk" w:hAnsi="Space Grotesk"/>
          <w:b/>
          <w:bCs/>
          <w:color w:val="2563EB"/>
          <w:sz w:val="28"/>
          <w:szCs w:val="28"/>
        </w:rPr>
        <w:t xml:space="preserve">Type Scale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shd w:fill="0A0F1E" w:color="auto" w:val="clear"/>
            <w:vAlign w:val="center"/>
          </w:tcPr>
          <w:p>
            <w:r>
              <w:rPr>
                <w:rFonts w:ascii="Space Grotesk" w:cs="Space Grotesk" w:eastAsia="Space Grotesk" w:hAnsi="Space Grotesk"/>
                <w:b/>
                <w:bCs/>
                <w:color w:val="FFFFFF"/>
                <w:sz w:val="17"/>
                <w:szCs w:val="17"/>
              </w:rPr>
              <w:t xml:space="preserve">Role</w:t>
            </w:r>
          </w:p>
        </w:tc>
        <w:tc>
          <w:tcPr>
            <w:tcW w:type="dxa" w:w="2400"/>
            <w:shd w:fill="0A0F1E" w:color="auto" w:val="clear"/>
            <w:vAlign w:val="center"/>
          </w:tcPr>
          <w:p>
            <w:r>
              <w:rPr>
                <w:rFonts w:ascii="Space Grotesk" w:cs="Space Grotesk" w:eastAsia="Space Grotesk" w:hAnsi="Space Grotesk"/>
                <w:b/>
                <w:bCs/>
                <w:color w:val="FFFFFF"/>
                <w:sz w:val="17"/>
                <w:szCs w:val="17"/>
              </w:rPr>
              <w:t xml:space="preserve">Typeface</w:t>
            </w:r>
          </w:p>
        </w:tc>
        <w:tc>
          <w:tcPr>
            <w:tcW w:type="dxa" w:w="1800"/>
            <w:shd w:fill="0A0F1E" w:color="auto" w:val="clear"/>
            <w:vAlign w:val="center"/>
          </w:tcPr>
          <w:p>
            <w:r>
              <w:rPr>
                <w:rFonts w:ascii="Space Grotesk" w:cs="Space Grotesk" w:eastAsia="Space Grotesk" w:hAnsi="Space Grotesk"/>
                <w:b/>
                <w:bCs/>
                <w:color w:val="FFFFFF"/>
                <w:sz w:val="17"/>
                <w:szCs w:val="17"/>
              </w:rPr>
              <w:t xml:space="preserve">Weight</w:t>
            </w:r>
          </w:p>
        </w:tc>
        <w:tc>
          <w:tcPr>
            <w:tcW w:type="dxa" w:w="1400"/>
            <w:shd w:fill="0A0F1E" w:color="auto" w:val="clear"/>
            <w:vAlign w:val="center"/>
          </w:tcPr>
          <w:p>
            <w:r>
              <w:rPr>
                <w:rFonts w:ascii="Space Grotesk" w:cs="Space Grotesk" w:eastAsia="Space Grotesk" w:hAnsi="Space Grotesk"/>
                <w:b/>
                <w:bCs/>
                <w:color w:val="FFFFFF"/>
                <w:sz w:val="17"/>
                <w:szCs w:val="17"/>
              </w:rPr>
              <w:t xml:space="preserve">Size/Line</w:t>
            </w:r>
          </w:p>
        </w:tc>
        <w:tc>
          <w:tcPr>
            <w:tcW w:type="dxa" w:w="1500"/>
            <w:shd w:fill="0A0F1E" w:color="auto" w:val="clear"/>
            <w:vAlign w:val="center"/>
          </w:tcPr>
          <w:p>
            <w:r>
              <w:rPr>
                <w:rFonts w:ascii="Space Grotesk" w:cs="Space Grotesk" w:eastAsia="Space Grotesk" w:hAnsi="Space Grotesk"/>
                <w:b/>
                <w:bCs/>
                <w:color w:val="FFFFFF"/>
                <w:sz w:val="17"/>
                <w:szCs w:val="17"/>
              </w:rPr>
              <w:t xml:space="preserve">Case</w:t>
            </w:r>
          </w:p>
        </w:tc>
      </w:tr>
      <w:tr>
        <w:tc>
          <w:tcPr>
            <w:tcW w:type="dxa" w:w="2200"/>
            <w:vAlign w:val="center"/>
          </w:tcPr>
          <w:p>
            <w:r>
              <w:rPr>
                <w:rFonts w:ascii="Inter" w:cs="Inter" w:eastAsia="Inter" w:hAnsi="Inter"/>
                <w:b/>
                <w:bCs/>
                <w:color w:val="2B2B33"/>
                <w:sz w:val="19"/>
                <w:szCs w:val="19"/>
              </w:rPr>
              <w:t xml:space="preserve">Display / H1</w:t>
            </w:r>
          </w:p>
        </w:tc>
        <w:tc>
          <w:tcPr>
            <w:tcW w:type="dxa" w:w="2400"/>
            <w:vAlign w:val="center"/>
          </w:tcPr>
          <w:p>
            <w:r>
              <w:rPr>
                <w:rFonts w:ascii="Inter" w:cs="Inter" w:eastAsia="Inter" w:hAnsi="Inter"/>
                <w:b w:val="false"/>
                <w:bCs w:val="false"/>
                <w:color w:val="2B2B33"/>
                <w:sz w:val="19"/>
                <w:szCs w:val="19"/>
              </w:rPr>
              <w:t xml:space="preserve">Space Grotesk</w:t>
            </w:r>
          </w:p>
        </w:tc>
        <w:tc>
          <w:tcPr>
            <w:tcW w:type="dxa" w:w="1800"/>
            <w:vAlign w:val="center"/>
          </w:tcPr>
          <w:p>
            <w:r>
              <w:rPr>
                <w:rFonts w:ascii="Inter" w:cs="Inter" w:eastAsia="Inter" w:hAnsi="Inter"/>
                <w:b w:val="false"/>
                <w:bCs w:val="false"/>
                <w:color w:val="2B2B33"/>
                <w:sz w:val="19"/>
                <w:szCs w:val="19"/>
              </w:rPr>
              <w:t xml:space="preserve">Bold (700)</w:t>
            </w:r>
          </w:p>
        </w:tc>
        <w:tc>
          <w:tcPr>
            <w:tcW w:type="dxa" w:w="1400"/>
            <w:vAlign w:val="center"/>
          </w:tcPr>
          <w:p>
            <w:r>
              <w:rPr>
                <w:rFonts w:ascii="Inter" w:cs="Inter" w:eastAsia="Inter" w:hAnsi="Inter"/>
                <w:b w:val="false"/>
                <w:bCs w:val="false"/>
                <w:color w:val="2B2B33"/>
                <w:sz w:val="19"/>
                <w:szCs w:val="19"/>
              </w:rPr>
              <w:t xml:space="preserve">48 / 56</w:t>
            </w:r>
          </w:p>
        </w:tc>
        <w:tc>
          <w:tcPr>
            <w:tcW w:type="dxa" w:w="1500"/>
            <w:vAlign w:val="center"/>
          </w:tcPr>
          <w:p>
            <w:r>
              <w:rPr>
                <w:rFonts w:ascii="Inter" w:cs="Inter" w:eastAsia="Inter" w:hAnsi="Inter"/>
                <w:b w:val="false"/>
                <w:bCs w:val="false"/>
                <w:color w:val="2B2B33"/>
                <w:sz w:val="19"/>
                <w:szCs w:val="19"/>
              </w:rPr>
              <w:t xml:space="preserve">Sentence case</w:t>
            </w:r>
          </w:p>
        </w:tc>
      </w:tr>
      <w:tr>
        <w:tc>
          <w:tcPr>
            <w:tcW w:type="dxa" w:w="2200"/>
            <w:vAlign w:val="center"/>
          </w:tcPr>
          <w:p>
            <w:r>
              <w:rPr>
                <w:rFonts w:ascii="Inter" w:cs="Inter" w:eastAsia="Inter" w:hAnsi="Inter"/>
                <w:b/>
                <w:bCs/>
                <w:color w:val="2B2B33"/>
                <w:sz w:val="19"/>
                <w:szCs w:val="19"/>
              </w:rPr>
              <w:t xml:space="preserve">H2</w:t>
            </w:r>
          </w:p>
        </w:tc>
        <w:tc>
          <w:tcPr>
            <w:tcW w:type="dxa" w:w="2400"/>
            <w:vAlign w:val="center"/>
          </w:tcPr>
          <w:p>
            <w:r>
              <w:rPr>
                <w:rFonts w:ascii="Inter" w:cs="Inter" w:eastAsia="Inter" w:hAnsi="Inter"/>
                <w:b w:val="false"/>
                <w:bCs w:val="false"/>
                <w:color w:val="2B2B33"/>
                <w:sz w:val="19"/>
                <w:szCs w:val="19"/>
              </w:rPr>
              <w:t xml:space="preserve">Space Grotesk</w:t>
            </w:r>
          </w:p>
        </w:tc>
        <w:tc>
          <w:tcPr>
            <w:tcW w:type="dxa" w:w="1800"/>
            <w:vAlign w:val="center"/>
          </w:tcPr>
          <w:p>
            <w:r>
              <w:rPr>
                <w:rFonts w:ascii="Inter" w:cs="Inter" w:eastAsia="Inter" w:hAnsi="Inter"/>
                <w:b w:val="false"/>
                <w:bCs w:val="false"/>
                <w:color w:val="2B2B33"/>
                <w:sz w:val="19"/>
                <w:szCs w:val="19"/>
              </w:rPr>
              <w:t xml:space="preserve">Bold (700)</w:t>
            </w:r>
          </w:p>
        </w:tc>
        <w:tc>
          <w:tcPr>
            <w:tcW w:type="dxa" w:w="1400"/>
            <w:vAlign w:val="center"/>
          </w:tcPr>
          <w:p>
            <w:r>
              <w:rPr>
                <w:rFonts w:ascii="Inter" w:cs="Inter" w:eastAsia="Inter" w:hAnsi="Inter"/>
                <w:b w:val="false"/>
                <w:bCs w:val="false"/>
                <w:color w:val="2B2B33"/>
                <w:sz w:val="19"/>
                <w:szCs w:val="19"/>
              </w:rPr>
              <w:t xml:space="preserve">36 / 44</w:t>
            </w:r>
          </w:p>
        </w:tc>
        <w:tc>
          <w:tcPr>
            <w:tcW w:type="dxa" w:w="1500"/>
            <w:vAlign w:val="center"/>
          </w:tcPr>
          <w:p>
            <w:r>
              <w:rPr>
                <w:rFonts w:ascii="Inter" w:cs="Inter" w:eastAsia="Inter" w:hAnsi="Inter"/>
                <w:b w:val="false"/>
                <w:bCs w:val="false"/>
                <w:color w:val="2B2B33"/>
                <w:sz w:val="19"/>
                <w:szCs w:val="19"/>
              </w:rPr>
              <w:t xml:space="preserve">Sentence case</w:t>
            </w:r>
          </w:p>
        </w:tc>
      </w:tr>
      <w:tr>
        <w:tc>
          <w:tcPr>
            <w:tcW w:type="dxa" w:w="2200"/>
            <w:vAlign w:val="center"/>
          </w:tcPr>
          <w:p>
            <w:r>
              <w:rPr>
                <w:rFonts w:ascii="Inter" w:cs="Inter" w:eastAsia="Inter" w:hAnsi="Inter"/>
                <w:b/>
                <w:bCs/>
                <w:color w:val="2B2B33"/>
                <w:sz w:val="19"/>
                <w:szCs w:val="19"/>
              </w:rPr>
              <w:t xml:space="preserve">H3</w:t>
            </w:r>
          </w:p>
        </w:tc>
        <w:tc>
          <w:tcPr>
            <w:tcW w:type="dxa" w:w="2400"/>
            <w:vAlign w:val="center"/>
          </w:tcPr>
          <w:p>
            <w:r>
              <w:rPr>
                <w:rFonts w:ascii="Inter" w:cs="Inter" w:eastAsia="Inter" w:hAnsi="Inter"/>
                <w:b w:val="false"/>
                <w:bCs w:val="false"/>
                <w:color w:val="2B2B33"/>
                <w:sz w:val="19"/>
                <w:szCs w:val="19"/>
              </w:rPr>
              <w:t xml:space="preserve">Space Grotesk</w:t>
            </w:r>
          </w:p>
        </w:tc>
        <w:tc>
          <w:tcPr>
            <w:tcW w:type="dxa" w:w="1800"/>
            <w:vAlign w:val="center"/>
          </w:tcPr>
          <w:p>
            <w:r>
              <w:rPr>
                <w:rFonts w:ascii="Inter" w:cs="Inter" w:eastAsia="Inter" w:hAnsi="Inter"/>
                <w:b w:val="false"/>
                <w:bCs w:val="false"/>
                <w:color w:val="2B2B33"/>
                <w:sz w:val="19"/>
                <w:szCs w:val="19"/>
              </w:rPr>
              <w:t xml:space="preserve">Medium (500)</w:t>
            </w:r>
          </w:p>
        </w:tc>
        <w:tc>
          <w:tcPr>
            <w:tcW w:type="dxa" w:w="1400"/>
            <w:vAlign w:val="center"/>
          </w:tcPr>
          <w:p>
            <w:r>
              <w:rPr>
                <w:rFonts w:ascii="Inter" w:cs="Inter" w:eastAsia="Inter" w:hAnsi="Inter"/>
                <w:b w:val="false"/>
                <w:bCs w:val="false"/>
                <w:color w:val="2B2B33"/>
                <w:sz w:val="19"/>
                <w:szCs w:val="19"/>
              </w:rPr>
              <w:t xml:space="preserve">28 / 36</w:t>
            </w:r>
          </w:p>
        </w:tc>
        <w:tc>
          <w:tcPr>
            <w:tcW w:type="dxa" w:w="1500"/>
            <w:vAlign w:val="center"/>
          </w:tcPr>
          <w:p>
            <w:r>
              <w:rPr>
                <w:rFonts w:ascii="Inter" w:cs="Inter" w:eastAsia="Inter" w:hAnsi="Inter"/>
                <w:b w:val="false"/>
                <w:bCs w:val="false"/>
                <w:color w:val="2B2B33"/>
                <w:sz w:val="19"/>
                <w:szCs w:val="19"/>
              </w:rPr>
              <w:t xml:space="preserve">Sentence case</w:t>
            </w:r>
          </w:p>
        </w:tc>
      </w:tr>
      <w:tr>
        <w:tc>
          <w:tcPr>
            <w:tcW w:type="dxa" w:w="2200"/>
            <w:vAlign w:val="center"/>
          </w:tcPr>
          <w:p>
            <w:r>
              <w:rPr>
                <w:rFonts w:ascii="Inter" w:cs="Inter" w:eastAsia="Inter" w:hAnsi="Inter"/>
                <w:b/>
                <w:bCs/>
                <w:color w:val="2B2B33"/>
                <w:sz w:val="19"/>
                <w:szCs w:val="19"/>
              </w:rPr>
              <w:t xml:space="preserve">H4 / Overline</w:t>
            </w:r>
          </w:p>
        </w:tc>
        <w:tc>
          <w:tcPr>
            <w:tcW w:type="dxa" w:w="2400"/>
            <w:vAlign w:val="center"/>
          </w:tcPr>
          <w:p>
            <w:r>
              <w:rPr>
                <w:rFonts w:ascii="Inter" w:cs="Inter" w:eastAsia="Inter" w:hAnsi="Inter"/>
                <w:b w:val="false"/>
                <w:bCs w:val="false"/>
                <w:color w:val="2B2B33"/>
                <w:sz w:val="19"/>
                <w:szCs w:val="19"/>
              </w:rPr>
              <w:t xml:space="preserve">Space Grotesk</w:t>
            </w:r>
          </w:p>
        </w:tc>
        <w:tc>
          <w:tcPr>
            <w:tcW w:type="dxa" w:w="1800"/>
            <w:vAlign w:val="center"/>
          </w:tcPr>
          <w:p>
            <w:r>
              <w:rPr>
                <w:rFonts w:ascii="Inter" w:cs="Inter" w:eastAsia="Inter" w:hAnsi="Inter"/>
                <w:b w:val="false"/>
                <w:bCs w:val="false"/>
                <w:color w:val="2B2B33"/>
                <w:sz w:val="19"/>
                <w:szCs w:val="19"/>
              </w:rPr>
              <w:t xml:space="preserve">Medium (500)</w:t>
            </w:r>
          </w:p>
        </w:tc>
        <w:tc>
          <w:tcPr>
            <w:tcW w:type="dxa" w:w="1400"/>
            <w:vAlign w:val="center"/>
          </w:tcPr>
          <w:p>
            <w:r>
              <w:rPr>
                <w:rFonts w:ascii="Inter" w:cs="Inter" w:eastAsia="Inter" w:hAnsi="Inter"/>
                <w:b w:val="false"/>
                <w:bCs w:val="false"/>
                <w:color w:val="2B2B33"/>
                <w:sz w:val="19"/>
                <w:szCs w:val="19"/>
              </w:rPr>
              <w:t xml:space="preserve">14 / 20</w:t>
            </w:r>
          </w:p>
        </w:tc>
        <w:tc>
          <w:tcPr>
            <w:tcW w:type="dxa" w:w="1500"/>
            <w:vAlign w:val="center"/>
          </w:tcPr>
          <w:p>
            <w:r>
              <w:rPr>
                <w:rFonts w:ascii="Inter" w:cs="Inter" w:eastAsia="Inter" w:hAnsi="Inter"/>
                <w:b w:val="false"/>
                <w:bCs w:val="false"/>
                <w:color w:val="2B2B33"/>
                <w:sz w:val="19"/>
                <w:szCs w:val="19"/>
              </w:rPr>
              <w:t xml:space="preserve">UPPERCASE, tracked</w:t>
            </w:r>
          </w:p>
        </w:tc>
      </w:tr>
      <w:tr>
        <w:tc>
          <w:tcPr>
            <w:tcW w:type="dxa" w:w="2200"/>
            <w:vAlign w:val="center"/>
          </w:tcPr>
          <w:p>
            <w:r>
              <w:rPr>
                <w:rFonts w:ascii="Inter" w:cs="Inter" w:eastAsia="Inter" w:hAnsi="Inter"/>
                <w:b/>
                <w:bCs/>
                <w:color w:val="2B2B33"/>
                <w:sz w:val="19"/>
                <w:szCs w:val="19"/>
              </w:rPr>
              <w:t xml:space="preserve">Body Large</w:t>
            </w:r>
          </w:p>
        </w:tc>
        <w:tc>
          <w:tcPr>
            <w:tcW w:type="dxa" w:w="2400"/>
            <w:vAlign w:val="center"/>
          </w:tcPr>
          <w:p>
            <w:r>
              <w:rPr>
                <w:rFonts w:ascii="Inter" w:cs="Inter" w:eastAsia="Inter" w:hAnsi="Inter"/>
                <w:b w:val="false"/>
                <w:bCs w:val="false"/>
                <w:color w:val="2B2B33"/>
                <w:sz w:val="19"/>
                <w:szCs w:val="19"/>
              </w:rPr>
              <w:t xml:space="preserve">Inter</w:t>
            </w:r>
          </w:p>
        </w:tc>
        <w:tc>
          <w:tcPr>
            <w:tcW w:type="dxa" w:w="1800"/>
            <w:vAlign w:val="center"/>
          </w:tcPr>
          <w:p>
            <w:r>
              <w:rPr>
                <w:rFonts w:ascii="Inter" w:cs="Inter" w:eastAsia="Inter" w:hAnsi="Inter"/>
                <w:b w:val="false"/>
                <w:bCs w:val="false"/>
                <w:color w:val="2B2B33"/>
                <w:sz w:val="19"/>
                <w:szCs w:val="19"/>
              </w:rPr>
              <w:t xml:space="preserve">Regular (400)</w:t>
            </w:r>
          </w:p>
        </w:tc>
        <w:tc>
          <w:tcPr>
            <w:tcW w:type="dxa" w:w="1400"/>
            <w:vAlign w:val="center"/>
          </w:tcPr>
          <w:p>
            <w:r>
              <w:rPr>
                <w:rFonts w:ascii="Inter" w:cs="Inter" w:eastAsia="Inter" w:hAnsi="Inter"/>
                <w:b w:val="false"/>
                <w:bCs w:val="false"/>
                <w:color w:val="2B2B33"/>
                <w:sz w:val="19"/>
                <w:szCs w:val="19"/>
              </w:rPr>
              <w:t xml:space="preserve">18 / 28</w:t>
            </w:r>
          </w:p>
        </w:tc>
        <w:tc>
          <w:tcPr>
            <w:tcW w:type="dxa" w:w="1500"/>
            <w:vAlign w:val="center"/>
          </w:tcPr>
          <w:p>
            <w:r>
              <w:rPr>
                <w:rFonts w:ascii="Inter" w:cs="Inter" w:eastAsia="Inter" w:hAnsi="Inter"/>
                <w:b w:val="false"/>
                <w:bCs w:val="false"/>
                <w:color w:val="2B2B33"/>
                <w:sz w:val="19"/>
                <w:szCs w:val="19"/>
              </w:rPr>
              <w:t xml:space="preserve">Sentence case</w:t>
            </w:r>
          </w:p>
        </w:tc>
      </w:tr>
      <w:tr>
        <w:tc>
          <w:tcPr>
            <w:tcW w:type="dxa" w:w="2200"/>
            <w:vAlign w:val="center"/>
          </w:tcPr>
          <w:p>
            <w:r>
              <w:rPr>
                <w:rFonts w:ascii="Inter" w:cs="Inter" w:eastAsia="Inter" w:hAnsi="Inter"/>
                <w:b/>
                <w:bCs/>
                <w:color w:val="2B2B33"/>
                <w:sz w:val="19"/>
                <w:szCs w:val="19"/>
              </w:rPr>
              <w:t xml:space="preserve">Body</w:t>
            </w:r>
          </w:p>
        </w:tc>
        <w:tc>
          <w:tcPr>
            <w:tcW w:type="dxa" w:w="2400"/>
            <w:vAlign w:val="center"/>
          </w:tcPr>
          <w:p>
            <w:r>
              <w:rPr>
                <w:rFonts w:ascii="Inter" w:cs="Inter" w:eastAsia="Inter" w:hAnsi="Inter"/>
                <w:b w:val="false"/>
                <w:bCs w:val="false"/>
                <w:color w:val="2B2B33"/>
                <w:sz w:val="19"/>
                <w:szCs w:val="19"/>
              </w:rPr>
              <w:t xml:space="preserve">Inter</w:t>
            </w:r>
          </w:p>
        </w:tc>
        <w:tc>
          <w:tcPr>
            <w:tcW w:type="dxa" w:w="1800"/>
            <w:vAlign w:val="center"/>
          </w:tcPr>
          <w:p>
            <w:r>
              <w:rPr>
                <w:rFonts w:ascii="Inter" w:cs="Inter" w:eastAsia="Inter" w:hAnsi="Inter"/>
                <w:b w:val="false"/>
                <w:bCs w:val="false"/>
                <w:color w:val="2B2B33"/>
                <w:sz w:val="19"/>
                <w:szCs w:val="19"/>
              </w:rPr>
              <w:t xml:space="preserve">Regular (400)</w:t>
            </w:r>
          </w:p>
        </w:tc>
        <w:tc>
          <w:tcPr>
            <w:tcW w:type="dxa" w:w="1400"/>
            <w:vAlign w:val="center"/>
          </w:tcPr>
          <w:p>
            <w:r>
              <w:rPr>
                <w:rFonts w:ascii="Inter" w:cs="Inter" w:eastAsia="Inter" w:hAnsi="Inter"/>
                <w:b w:val="false"/>
                <w:bCs w:val="false"/>
                <w:color w:val="2B2B33"/>
                <w:sz w:val="19"/>
                <w:szCs w:val="19"/>
              </w:rPr>
              <w:t xml:space="preserve">16 / 24</w:t>
            </w:r>
          </w:p>
        </w:tc>
        <w:tc>
          <w:tcPr>
            <w:tcW w:type="dxa" w:w="1500"/>
            <w:vAlign w:val="center"/>
          </w:tcPr>
          <w:p>
            <w:r>
              <w:rPr>
                <w:rFonts w:ascii="Inter" w:cs="Inter" w:eastAsia="Inter" w:hAnsi="Inter"/>
                <w:b w:val="false"/>
                <w:bCs w:val="false"/>
                <w:color w:val="2B2B33"/>
                <w:sz w:val="19"/>
                <w:szCs w:val="19"/>
              </w:rPr>
              <w:t xml:space="preserve">Sentence case</w:t>
            </w:r>
          </w:p>
        </w:tc>
      </w:tr>
      <w:tr>
        <w:tc>
          <w:tcPr>
            <w:tcW w:type="dxa" w:w="2200"/>
            <w:vAlign w:val="center"/>
          </w:tcPr>
          <w:p>
            <w:r>
              <w:rPr>
                <w:rFonts w:ascii="Inter" w:cs="Inter" w:eastAsia="Inter" w:hAnsi="Inter"/>
                <w:b/>
                <w:bCs/>
                <w:color w:val="2B2B33"/>
                <w:sz w:val="19"/>
                <w:szCs w:val="19"/>
              </w:rPr>
              <w:t xml:space="preserve">UI Label / Button</w:t>
            </w:r>
          </w:p>
        </w:tc>
        <w:tc>
          <w:tcPr>
            <w:tcW w:type="dxa" w:w="2400"/>
            <w:vAlign w:val="center"/>
          </w:tcPr>
          <w:p>
            <w:r>
              <w:rPr>
                <w:rFonts w:ascii="Inter" w:cs="Inter" w:eastAsia="Inter" w:hAnsi="Inter"/>
                <w:b w:val="false"/>
                <w:bCs w:val="false"/>
                <w:color w:val="2B2B33"/>
                <w:sz w:val="19"/>
                <w:szCs w:val="19"/>
              </w:rPr>
              <w:t xml:space="preserve">Inter</w:t>
            </w:r>
          </w:p>
        </w:tc>
        <w:tc>
          <w:tcPr>
            <w:tcW w:type="dxa" w:w="1800"/>
            <w:vAlign w:val="center"/>
          </w:tcPr>
          <w:p>
            <w:r>
              <w:rPr>
                <w:rFonts w:ascii="Inter" w:cs="Inter" w:eastAsia="Inter" w:hAnsi="Inter"/>
                <w:b w:val="false"/>
                <w:bCs w:val="false"/>
                <w:color w:val="2B2B33"/>
                <w:sz w:val="19"/>
                <w:szCs w:val="19"/>
              </w:rPr>
              <w:t xml:space="preserve">Semibold (600)</w:t>
            </w:r>
          </w:p>
        </w:tc>
        <w:tc>
          <w:tcPr>
            <w:tcW w:type="dxa" w:w="1400"/>
            <w:vAlign w:val="center"/>
          </w:tcPr>
          <w:p>
            <w:r>
              <w:rPr>
                <w:rFonts w:ascii="Inter" w:cs="Inter" w:eastAsia="Inter" w:hAnsi="Inter"/>
                <w:b w:val="false"/>
                <w:bCs w:val="false"/>
                <w:color w:val="2B2B33"/>
                <w:sz w:val="19"/>
                <w:szCs w:val="19"/>
              </w:rPr>
              <w:t xml:space="preserve">14 / 20</w:t>
            </w:r>
          </w:p>
        </w:tc>
        <w:tc>
          <w:tcPr>
            <w:tcW w:type="dxa" w:w="1500"/>
            <w:vAlign w:val="center"/>
          </w:tcPr>
          <w:p>
            <w:r>
              <w:rPr>
                <w:rFonts w:ascii="Inter" w:cs="Inter" w:eastAsia="Inter" w:hAnsi="Inter"/>
                <w:b w:val="false"/>
                <w:bCs w:val="false"/>
                <w:color w:val="2B2B33"/>
                <w:sz w:val="19"/>
                <w:szCs w:val="19"/>
              </w:rPr>
              <w:t xml:space="preserve">Sentence case</w:t>
            </w:r>
          </w:p>
        </w:tc>
      </w:tr>
      <w:tr>
        <w:tc>
          <w:tcPr>
            <w:tcW w:type="dxa" w:w="2200"/>
            <w:vAlign w:val="center"/>
          </w:tcPr>
          <w:p>
            <w:r>
              <w:rPr>
                <w:rFonts w:ascii="Inter" w:cs="Inter" w:eastAsia="Inter" w:hAnsi="Inter"/>
                <w:b/>
                <w:bCs/>
                <w:color w:val="2B2B33"/>
                <w:sz w:val="19"/>
                <w:szCs w:val="19"/>
              </w:rPr>
              <w:t xml:space="preserve">Caption</w:t>
            </w:r>
          </w:p>
        </w:tc>
        <w:tc>
          <w:tcPr>
            <w:tcW w:type="dxa" w:w="2400"/>
            <w:vAlign w:val="center"/>
          </w:tcPr>
          <w:p>
            <w:r>
              <w:rPr>
                <w:rFonts w:ascii="Inter" w:cs="Inter" w:eastAsia="Inter" w:hAnsi="Inter"/>
                <w:b w:val="false"/>
                <w:bCs w:val="false"/>
                <w:color w:val="2B2B33"/>
                <w:sz w:val="19"/>
                <w:szCs w:val="19"/>
              </w:rPr>
              <w:t xml:space="preserve">Inter</w:t>
            </w:r>
          </w:p>
        </w:tc>
        <w:tc>
          <w:tcPr>
            <w:tcW w:type="dxa" w:w="1800"/>
            <w:vAlign w:val="center"/>
          </w:tcPr>
          <w:p>
            <w:r>
              <w:rPr>
                <w:rFonts w:ascii="Inter" w:cs="Inter" w:eastAsia="Inter" w:hAnsi="Inter"/>
                <w:b w:val="false"/>
                <w:bCs w:val="false"/>
                <w:color w:val="2B2B33"/>
                <w:sz w:val="19"/>
                <w:szCs w:val="19"/>
              </w:rPr>
              <w:t xml:space="preserve">Regular (400)</w:t>
            </w:r>
          </w:p>
        </w:tc>
        <w:tc>
          <w:tcPr>
            <w:tcW w:type="dxa" w:w="1400"/>
            <w:vAlign w:val="center"/>
          </w:tcPr>
          <w:p>
            <w:r>
              <w:rPr>
                <w:rFonts w:ascii="Inter" w:cs="Inter" w:eastAsia="Inter" w:hAnsi="Inter"/>
                <w:b w:val="false"/>
                <w:bCs w:val="false"/>
                <w:color w:val="2B2B33"/>
                <w:sz w:val="19"/>
                <w:szCs w:val="19"/>
              </w:rPr>
              <w:t xml:space="preserve">13 / 18</w:t>
            </w:r>
          </w:p>
        </w:tc>
        <w:tc>
          <w:tcPr>
            <w:tcW w:type="dxa" w:w="1500"/>
            <w:vAlign w:val="center"/>
          </w:tcPr>
          <w:p>
            <w:r>
              <w:rPr>
                <w:rFonts w:ascii="Inter" w:cs="Inter" w:eastAsia="Inter" w:hAnsi="Inter"/>
                <w:b w:val="false"/>
                <w:bCs w:val="false"/>
                <w:color w:val="2B2B33"/>
                <w:sz w:val="19"/>
                <w:szCs w:val="19"/>
              </w:rPr>
              <w:t xml:space="preserve">Sentence case</w:t>
            </w:r>
          </w:p>
        </w:tc>
      </w:tr>
    </w:tbl>
    <w:p>
      <w:pPr>
        <w:spacing w:before="240"/>
      </w:pPr>
    </w:p>
    <w:p>
      <w:pPr>
        <w:pStyle w:val="Heading2"/>
        <w:spacing w:after="160" w:before="320"/>
      </w:pPr>
      <w:r>
        <w:rPr>
          <w:rFonts w:ascii="Space Grotesk" w:cs="Space Grotesk" w:eastAsia="Space Grotesk" w:hAnsi="Space Grotesk"/>
          <w:b/>
          <w:bCs/>
          <w:color w:val="2563EB"/>
          <w:sz w:val="28"/>
          <w:szCs w:val="28"/>
        </w:rPr>
        <w:t xml:space="preserve">Pairing Rules</w:t>
      </w:r>
    </w:p>
    <w:p>
      <w:pPr>
        <w:pStyle w:val="ListParagraph"/>
        <w:numPr>
          <w:ilvl w:val="0"/>
          <w:numId w:val="2"/>
        </w:numPr>
        <w:spacing w:after="100"/>
      </w:pPr>
      <w:r>
        <w:rPr>
          <w:rFonts w:ascii="Inter" w:cs="Inter" w:eastAsia="Inter" w:hAnsi="Inter"/>
          <w:color w:val="2B2B33"/>
          <w:sz w:val="21"/>
          <w:szCs w:val="21"/>
        </w:rPr>
        <w:t xml:space="preserve">Never set body copy in Space Grotesk beyond a single short line — it is a display face and loses legibility at paragraph sizes.</w:t>
      </w:r>
    </w:p>
    <w:p>
      <w:pPr>
        <w:pStyle w:val="ListParagraph"/>
        <w:numPr>
          <w:ilvl w:val="0"/>
          <w:numId w:val="2"/>
        </w:numPr>
        <w:spacing w:after="100"/>
      </w:pPr>
      <w:r>
        <w:rPr>
          <w:rFonts w:ascii="Inter" w:cs="Inter" w:eastAsia="Inter" w:hAnsi="Inter"/>
          <w:color w:val="2B2B33"/>
          <w:sz w:val="21"/>
          <w:szCs w:val="21"/>
        </w:rPr>
        <w:t xml:space="preserve">Never set headlines in Inter when Space Grotesk is available — headlines are where the brand's technical character shows.</w:t>
      </w:r>
    </w:p>
    <w:p>
      <w:pPr>
        <w:pStyle w:val="ListParagraph"/>
        <w:numPr>
          <w:ilvl w:val="0"/>
          <w:numId w:val="2"/>
        </w:numPr>
        <w:spacing w:after="100"/>
      </w:pPr>
      <w:r>
        <w:rPr>
          <w:rFonts w:ascii="Inter" w:cs="Inter" w:eastAsia="Inter" w:hAnsi="Inter"/>
          <w:color w:val="2B2B33"/>
          <w:sz w:val="21"/>
          <w:szCs w:val="21"/>
        </w:rPr>
        <w:t xml:space="preserve">Use generous tracking (40–60) on the NIAKX wordmark and uppercase overlines only; body text stays at default tracking.</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Space Grotesk" w:cs="Space Grotesk" w:eastAsia="Space Grotesk" w:hAnsi="Space Grotesk"/>
          <w:b/>
          <w:bCs/>
          <w:color w:val="0A0F1E"/>
          <w:sz w:val="40"/>
          <w:szCs w:val="40"/>
        </w:rPr>
        <w:t xml:space="preserve">05 — Voice &amp; Tone</w:t>
      </w:r>
    </w:p>
    <w:p>
      <w:pPr>
        <w:spacing w:after="160" w:line="300"/>
      </w:pPr>
      <w:r>
        <w:rPr>
          <w:rFonts w:ascii="Inter" w:cs="Inter" w:eastAsia="Inter" w:hAnsi="Inter"/>
          <w:i w:val="false"/>
          <w:iCs w:val="false"/>
          <w:color w:val="2B2B33"/>
          <w:sz w:val="21"/>
          <w:szCs w:val="21"/>
        </w:rPr>
        <w:t xml:space="preserve">NIAKX writes the way a sharp, technical co-founder talks: direct, confident, and allergic to filler. We explain the mechanism, not just the outcome, and we never oversell what the product hasn't earned yet.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2563EB" w:color="auto" w:val="clear"/>
            <w:vAlign w:val="center"/>
          </w:tcPr>
          <w:p>
            <w:r>
              <w:rPr>
                <w:rFonts w:ascii="Space Grotesk" w:cs="Space Grotesk" w:eastAsia="Space Grotesk" w:hAnsi="Space Grotesk"/>
                <w:b/>
                <w:bCs/>
                <w:color w:val="FFFFFF"/>
                <w:sz w:val="18"/>
                <w:szCs w:val="18"/>
              </w:rPr>
              <w:t xml:space="preserve">Trait</w:t>
            </w:r>
          </w:p>
        </w:tc>
        <w:tc>
          <w:tcPr>
            <w:tcW w:type="dxa" w:w="3750"/>
            <w:shd w:fill="2563EB" w:color="auto" w:val="clear"/>
            <w:vAlign w:val="center"/>
          </w:tcPr>
          <w:p>
            <w:r>
              <w:rPr>
                <w:rFonts w:ascii="Space Grotesk" w:cs="Space Grotesk" w:eastAsia="Space Grotesk" w:hAnsi="Space Grotesk"/>
                <w:b/>
                <w:bCs/>
                <w:color w:val="FFFFFF"/>
                <w:sz w:val="18"/>
                <w:szCs w:val="18"/>
              </w:rPr>
              <w:t xml:space="preserve">We say</w:t>
            </w:r>
          </w:p>
        </w:tc>
        <w:tc>
          <w:tcPr>
            <w:tcW w:type="dxa" w:w="3750"/>
            <w:shd w:fill="2563EB" w:color="auto" w:val="clear"/>
            <w:vAlign w:val="center"/>
          </w:tcPr>
          <w:p>
            <w:r>
              <w:rPr>
                <w:rFonts w:ascii="Space Grotesk" w:cs="Space Grotesk" w:eastAsia="Space Grotesk" w:hAnsi="Space Grotesk"/>
                <w:b/>
                <w:bCs/>
                <w:color w:val="FFFFFF"/>
                <w:sz w:val="18"/>
                <w:szCs w:val="18"/>
              </w:rPr>
              <w:t xml:space="preserve">We avoid</w:t>
            </w:r>
          </w:p>
        </w:tc>
      </w:tr>
      <w:tr>
        <w:tc>
          <w:tcPr>
            <w:tcW w:type="dxa" w:w="1800"/>
            <w:vAlign w:val="center"/>
          </w:tcPr>
          <w:p>
            <w:r>
              <w:rPr>
                <w:rFonts w:ascii="Inter" w:cs="Inter" w:eastAsia="Inter" w:hAnsi="Inter"/>
                <w:b/>
                <w:bCs/>
                <w:color w:val="0A0F1E"/>
                <w:sz w:val="19"/>
                <w:szCs w:val="19"/>
              </w:rPr>
              <w:t xml:space="preserve">Confident</w:t>
            </w:r>
          </w:p>
        </w:tc>
        <w:tc>
          <w:tcPr>
            <w:tcW w:type="dxa" w:w="3750"/>
            <w:vAlign w:val="center"/>
          </w:tcPr>
          <w:p>
            <w:r>
              <w:rPr>
                <w:rFonts w:ascii="Inter" w:cs="Inter" w:eastAsia="Inter" w:hAnsi="Inter"/>
                <w:b w:val="false"/>
                <w:bCs w:val="false"/>
                <w:color w:val="2B2B33"/>
                <w:sz w:val="19"/>
                <w:szCs w:val="19"/>
              </w:rPr>
              <w:t xml:space="preserve">“LaunchKit ships your MVP in days.”</w:t>
            </w:r>
          </w:p>
        </w:tc>
        <w:tc>
          <w:tcPr>
            <w:tcW w:type="dxa" w:w="3750"/>
            <w:vAlign w:val="center"/>
          </w:tcPr>
          <w:p>
            <w:r>
              <w:rPr>
                <w:rFonts w:ascii="Inter" w:cs="Inter" w:eastAsia="Inter" w:hAnsi="Inter"/>
                <w:b w:val="false"/>
                <w:bCs w:val="false"/>
                <w:color w:val="2B2B33"/>
                <w:sz w:val="19"/>
                <w:szCs w:val="19"/>
              </w:rPr>
              <w:t xml:space="preserve">“We think LaunchKit could maybe help you launch faster.”</w:t>
            </w:r>
          </w:p>
        </w:tc>
      </w:tr>
      <w:tr>
        <w:tc>
          <w:tcPr>
            <w:tcW w:type="dxa" w:w="1800"/>
            <w:vAlign w:val="center"/>
          </w:tcPr>
          <w:p>
            <w:r>
              <w:rPr>
                <w:rFonts w:ascii="Inter" w:cs="Inter" w:eastAsia="Inter" w:hAnsi="Inter"/>
                <w:b/>
                <w:bCs/>
                <w:color w:val="0A0F1E"/>
                <w:sz w:val="19"/>
                <w:szCs w:val="19"/>
              </w:rPr>
              <w:t xml:space="preserve">Precise</w:t>
            </w:r>
          </w:p>
        </w:tc>
        <w:tc>
          <w:tcPr>
            <w:tcW w:type="dxa" w:w="3750"/>
            <w:vAlign w:val="center"/>
          </w:tcPr>
          <w:p>
            <w:r>
              <w:rPr>
                <w:rFonts w:ascii="Inter" w:cs="Inter" w:eastAsia="Inter" w:hAnsi="Inter"/>
                <w:b w:val="false"/>
                <w:bCs w:val="false"/>
                <w:color w:val="2B2B33"/>
                <w:sz w:val="19"/>
                <w:szCs w:val="19"/>
              </w:rPr>
              <w:t xml:space="preserve">“Generate a positioning doc, pitch deck, and landing page from one brief.”</w:t>
            </w:r>
          </w:p>
        </w:tc>
        <w:tc>
          <w:tcPr>
            <w:tcW w:type="dxa" w:w="3750"/>
            <w:vAlign w:val="center"/>
          </w:tcPr>
          <w:p>
            <w:r>
              <w:rPr>
                <w:rFonts w:ascii="Inter" w:cs="Inter" w:eastAsia="Inter" w:hAnsi="Inter"/>
                <w:b w:val="false"/>
                <w:bCs w:val="false"/>
                <w:color w:val="2B2B33"/>
                <w:sz w:val="19"/>
                <w:szCs w:val="19"/>
              </w:rPr>
              <w:t xml:space="preserve">“Our powerful AI does amazing things for your startup.”</w:t>
            </w:r>
          </w:p>
        </w:tc>
      </w:tr>
      <w:tr>
        <w:tc>
          <w:tcPr>
            <w:tcW w:type="dxa" w:w="1800"/>
            <w:vAlign w:val="center"/>
          </w:tcPr>
          <w:p>
            <w:r>
              <w:rPr>
                <w:rFonts w:ascii="Inter" w:cs="Inter" w:eastAsia="Inter" w:hAnsi="Inter"/>
                <w:b/>
                <w:bCs/>
                <w:color w:val="0A0F1E"/>
                <w:sz w:val="19"/>
                <w:szCs w:val="19"/>
              </w:rPr>
              <w:t xml:space="preserve">Human</w:t>
            </w:r>
          </w:p>
        </w:tc>
        <w:tc>
          <w:tcPr>
            <w:tcW w:type="dxa" w:w="3750"/>
            <w:vAlign w:val="center"/>
          </w:tcPr>
          <w:p>
            <w:r>
              <w:rPr>
                <w:rFonts w:ascii="Inter" w:cs="Inter" w:eastAsia="Inter" w:hAnsi="Inter"/>
                <w:b w:val="false"/>
                <w:bCs w:val="false"/>
                <w:color w:val="2B2B33"/>
                <w:sz w:val="19"/>
                <w:szCs w:val="19"/>
              </w:rPr>
              <w:t xml:space="preserve">“You already know your market. We handle the busywork.”</w:t>
            </w:r>
          </w:p>
        </w:tc>
        <w:tc>
          <w:tcPr>
            <w:tcW w:type="dxa" w:w="3750"/>
            <w:vAlign w:val="center"/>
          </w:tcPr>
          <w:p>
            <w:r>
              <w:rPr>
                <w:rFonts w:ascii="Inter" w:cs="Inter" w:eastAsia="Inter" w:hAnsi="Inter"/>
                <w:b w:val="false"/>
                <w:bCs w:val="false"/>
                <w:color w:val="2B2B33"/>
                <w:sz w:val="19"/>
                <w:szCs w:val="19"/>
              </w:rPr>
              <w:t xml:space="preserve">“Leveraging synergistic AI to actualize your vision.”</w:t>
            </w:r>
          </w:p>
        </w:tc>
      </w:tr>
      <w:tr>
        <w:tc>
          <w:tcPr>
            <w:tcW w:type="dxa" w:w="1800"/>
            <w:vAlign w:val="center"/>
          </w:tcPr>
          <w:p>
            <w:r>
              <w:rPr>
                <w:rFonts w:ascii="Inter" w:cs="Inter" w:eastAsia="Inter" w:hAnsi="Inter"/>
                <w:b/>
                <w:bCs/>
                <w:color w:val="0A0F1E"/>
                <w:sz w:val="19"/>
                <w:szCs w:val="19"/>
              </w:rPr>
              <w:t xml:space="preserve">Forward-looking</w:t>
            </w:r>
          </w:p>
        </w:tc>
        <w:tc>
          <w:tcPr>
            <w:tcW w:type="dxa" w:w="3750"/>
            <w:vAlign w:val="center"/>
          </w:tcPr>
          <w:p>
            <w:r>
              <w:rPr>
                <w:rFonts w:ascii="Inter" w:cs="Inter" w:eastAsia="Inter" w:hAnsi="Inter"/>
                <w:b w:val="false"/>
                <w:bCs w:val="false"/>
                <w:color w:val="2B2B33"/>
                <w:sz w:val="19"/>
                <w:szCs w:val="19"/>
              </w:rPr>
              <w:t xml:space="preserve">“Built for the founder who scales past the first launch.”</w:t>
            </w:r>
          </w:p>
        </w:tc>
        <w:tc>
          <w:tcPr>
            <w:tcW w:type="dxa" w:w="3750"/>
            <w:vAlign w:val="center"/>
          </w:tcPr>
          <w:p>
            <w:r>
              <w:rPr>
                <w:rFonts w:ascii="Inter" w:cs="Inter" w:eastAsia="Inter" w:hAnsi="Inter"/>
                <w:b w:val="false"/>
                <w:bCs w:val="false"/>
                <w:color w:val="2B2B33"/>
                <w:sz w:val="19"/>
                <w:szCs w:val="19"/>
              </w:rPr>
              <w:t xml:space="preserve">“The ultimate one-stop-shop for absolutely everything.”</w:t>
            </w:r>
          </w:p>
        </w:tc>
      </w:tr>
    </w:tbl>
    <w:p>
      <w:pPr>
        <w:spacing w:before="240"/>
      </w:pPr>
    </w:p>
    <w:p>
      <w:pPr>
        <w:pStyle w:val="Heading2"/>
        <w:spacing w:after="160" w:before="320"/>
      </w:pPr>
      <w:r>
        <w:rPr>
          <w:rFonts w:ascii="Space Grotesk" w:cs="Space Grotesk" w:eastAsia="Space Grotesk" w:hAnsi="Space Grotesk"/>
          <w:b/>
          <w:bCs/>
          <w:color w:val="2563EB"/>
          <w:sz w:val="28"/>
          <w:szCs w:val="28"/>
        </w:rPr>
        <w:t xml:space="preserve">Writing Principles</w:t>
      </w:r>
    </w:p>
    <w:p>
      <w:pPr>
        <w:pStyle w:val="ListParagraph"/>
        <w:numPr>
          <w:ilvl w:val="0"/>
          <w:numId w:val="2"/>
        </w:numPr>
        <w:spacing w:after="100"/>
      </w:pPr>
      <w:r>
        <w:rPr>
          <w:rFonts w:ascii="Inter" w:cs="Inter" w:eastAsia="Inter" w:hAnsi="Inter"/>
          <w:color w:val="2B2B33"/>
          <w:sz w:val="21"/>
          <w:szCs w:val="21"/>
        </w:rPr>
        <w:t xml:space="preserve">Lead with the mechanism: say what the product does before what it feels like.</w:t>
      </w:r>
    </w:p>
    <w:p>
      <w:pPr>
        <w:pStyle w:val="ListParagraph"/>
        <w:numPr>
          <w:ilvl w:val="0"/>
          <w:numId w:val="2"/>
        </w:numPr>
        <w:spacing w:after="100"/>
      </w:pPr>
      <w:r>
        <w:rPr>
          <w:rFonts w:ascii="Inter" w:cs="Inter" w:eastAsia="Inter" w:hAnsi="Inter"/>
          <w:color w:val="2B2B33"/>
          <w:sz w:val="21"/>
          <w:szCs w:val="21"/>
        </w:rPr>
        <w:t xml:space="preserve">Prefer active voice and short sentences; cut adjectives that don't carry information.</w:t>
      </w:r>
    </w:p>
    <w:p>
      <w:pPr>
        <w:pStyle w:val="ListParagraph"/>
        <w:numPr>
          <w:ilvl w:val="0"/>
          <w:numId w:val="2"/>
        </w:numPr>
        <w:spacing w:after="100"/>
      </w:pPr>
      <w:r>
        <w:rPr>
          <w:rFonts w:ascii="Inter" w:cs="Inter" w:eastAsia="Inter" w:hAnsi="Inter"/>
          <w:color w:val="2B2B33"/>
          <w:sz w:val="21"/>
          <w:szCs w:val="21"/>
        </w:rPr>
        <w:t xml:space="preserve">Numbers and specifics beat superlatives — “20 slides in one prompt” beats “incredibly fast.”</w:t>
      </w:r>
    </w:p>
    <w:p>
      <w:pPr>
        <w:pStyle w:val="ListParagraph"/>
        <w:numPr>
          <w:ilvl w:val="0"/>
          <w:numId w:val="2"/>
        </w:numPr>
        <w:spacing w:after="100"/>
      </w:pPr>
      <w:r>
        <w:rPr>
          <w:rFonts w:ascii="Inter" w:cs="Inter" w:eastAsia="Inter" w:hAnsi="Inter"/>
          <w:color w:val="2B2B33"/>
          <w:sz w:val="21"/>
          <w:szCs w:val="21"/>
        </w:rPr>
        <w:t xml:space="preserve">Speak to founders as peers, not prospects — no false urgency, no hype-cycle buzzwords.</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Space Grotesk" w:cs="Space Grotesk" w:eastAsia="Space Grotesk" w:hAnsi="Space Grotesk"/>
          <w:b/>
          <w:bCs/>
          <w:color w:val="0A0F1E"/>
          <w:sz w:val="40"/>
          <w:szCs w:val="40"/>
        </w:rPr>
        <w:t xml:space="preserve">06 — Applications &amp; Governance</w:t>
      </w:r>
    </w:p>
    <w:p>
      <w:pPr>
        <w:pStyle w:val="Heading2"/>
        <w:spacing w:after="160" w:before="320"/>
      </w:pPr>
      <w:r>
        <w:rPr>
          <w:rFonts w:ascii="Space Grotesk" w:cs="Space Grotesk" w:eastAsia="Space Grotesk" w:hAnsi="Space Grotesk"/>
          <w:b/>
          <w:bCs/>
          <w:color w:val="2563EB"/>
          <w:sz w:val="28"/>
          <w:szCs w:val="28"/>
        </w:rPr>
        <w:t xml:space="preserve">Where This System Applies</w:t>
      </w:r>
    </w:p>
    <w:p>
      <w:pPr>
        <w:pStyle w:val="ListParagraph"/>
        <w:numPr>
          <w:ilvl w:val="0"/>
          <w:numId w:val="2"/>
        </w:numPr>
        <w:spacing w:after="100"/>
      </w:pPr>
      <w:r>
        <w:rPr>
          <w:rFonts w:ascii="Inter" w:cs="Inter" w:eastAsia="Inter" w:hAnsi="Inter"/>
          <w:color w:val="2B2B33"/>
          <w:sz w:val="21"/>
          <w:szCs w:val="21"/>
        </w:rPr>
        <w:t xml:space="preserve">Product UI — light and dark modes, using the color ratios and type scale defined above.</w:t>
      </w:r>
    </w:p>
    <w:p>
      <w:pPr>
        <w:pStyle w:val="ListParagraph"/>
        <w:numPr>
          <w:ilvl w:val="0"/>
          <w:numId w:val="2"/>
        </w:numPr>
        <w:spacing w:after="100"/>
      </w:pPr>
      <w:r>
        <w:rPr>
          <w:rFonts w:ascii="Inter" w:cs="Inter" w:eastAsia="Inter" w:hAnsi="Inter"/>
          <w:color w:val="2B2B33"/>
          <w:sz w:val="21"/>
          <w:szCs w:val="21"/>
        </w:rPr>
        <w:t xml:space="preserve">Marketing — website, landing pages, paid social, and email, always anchored on Void Navy or Pure White.</w:t>
      </w:r>
    </w:p>
    <w:p>
      <w:pPr>
        <w:pStyle w:val="ListParagraph"/>
        <w:numPr>
          <w:ilvl w:val="0"/>
          <w:numId w:val="2"/>
        </w:numPr>
        <w:spacing w:after="100"/>
      </w:pPr>
      <w:r>
        <w:rPr>
          <w:rFonts w:ascii="Inter" w:cs="Inter" w:eastAsia="Inter" w:hAnsi="Inter"/>
          <w:color w:val="2B2B33"/>
          <w:sz w:val="21"/>
          <w:szCs w:val="21"/>
        </w:rPr>
        <w:t xml:space="preserve">Investor &amp; Partner Materials — pitch decks, one-pagers, and data rooms using the Primary or Light logo lockups.</w:t>
      </w:r>
    </w:p>
    <w:p>
      <w:pPr>
        <w:pStyle w:val="ListParagraph"/>
        <w:numPr>
          <w:ilvl w:val="0"/>
          <w:numId w:val="2"/>
        </w:numPr>
        <w:spacing w:after="100"/>
      </w:pPr>
      <w:r>
        <w:rPr>
          <w:rFonts w:ascii="Inter" w:cs="Inter" w:eastAsia="Inter" w:hAnsi="Inter"/>
          <w:color w:val="2B2B33"/>
          <w:sz w:val="21"/>
          <w:szCs w:val="21"/>
        </w:rPr>
        <w:t xml:space="preserve">Social &amp; Community — the N symbol alone as avatar; Signal Blue → Ion Cyan gradient reserved for key visual moments, not backgrounds.</w:t>
      </w:r>
    </w:p>
    <w:p>
      <w:pPr>
        <w:pStyle w:val="Heading2"/>
        <w:spacing w:after="160" w:before="320"/>
      </w:pPr>
      <w:r>
        <w:rPr>
          <w:rFonts w:ascii="Space Grotesk" w:cs="Space Grotesk" w:eastAsia="Space Grotesk" w:hAnsi="Space Grotesk"/>
          <w:b/>
          <w:bCs/>
          <w:color w:val="2563EB"/>
          <w:sz w:val="28"/>
          <w:szCs w:val="28"/>
        </w:rPr>
        <w:t xml:space="preserve">Ownership</w:t>
      </w:r>
    </w:p>
    <w:p>
      <w:pPr>
        <w:spacing w:after="160" w:line="300"/>
      </w:pPr>
      <w:r>
        <w:rPr>
          <w:rFonts w:ascii="Inter" w:cs="Inter" w:eastAsia="Inter" w:hAnsi="Inter"/>
          <w:i w:val="false"/>
          <w:iCs w:val="false"/>
          <w:color w:val="2B2B33"/>
          <w:sz w:val="21"/>
          <w:szCs w:val="21"/>
        </w:rPr>
        <w:t xml:space="preserve">This guide is maintained by the NIAKX brand team. Proposed exceptions (new color, new typeface pairing, third-party co-branding) require sign-off before use in any customer-facing surface.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shd w:fill="0A0F1E" w:val="clear"/>
          </w:tcPr>
          <w:p>
            <w:r>
              <w:rPr>
                <w:rFonts w:ascii="Space Grotesk" w:cs="Space Grotesk" w:eastAsia="Space Grotesk" w:hAnsi="Space Grotesk"/>
                <w:b/>
                <w:bCs/>
                <w:color w:val="FFFFFF"/>
                <w:sz w:val="18"/>
                <w:szCs w:val="18"/>
              </w:rPr>
              <w:t xml:space="preserve">Version</w:t>
            </w:r>
          </w:p>
        </w:tc>
        <w:tc>
          <w:tcPr>
            <w:tcW w:type="dxa" w:w="2200"/>
            <w:shd w:fill="0A0F1E" w:val="clear"/>
          </w:tcPr>
          <w:p>
            <w:r>
              <w:rPr>
                <w:rFonts w:ascii="Space Grotesk" w:cs="Space Grotesk" w:eastAsia="Space Grotesk" w:hAnsi="Space Grotesk"/>
                <w:b/>
                <w:bCs/>
                <w:color w:val="FFFFFF"/>
                <w:sz w:val="18"/>
                <w:szCs w:val="18"/>
              </w:rPr>
              <w:t xml:space="preserve">Date</w:t>
            </w:r>
          </w:p>
        </w:tc>
        <w:tc>
          <w:tcPr>
            <w:tcW w:type="dxa" w:w="5600"/>
            <w:shd w:fill="0A0F1E" w:val="clear"/>
          </w:tcPr>
          <w:p>
            <w:r>
              <w:rPr>
                <w:rFonts w:ascii="Space Grotesk" w:cs="Space Grotesk" w:eastAsia="Space Grotesk" w:hAnsi="Space Grotesk"/>
                <w:b/>
                <w:bCs/>
                <w:color w:val="FFFFFF"/>
                <w:sz w:val="18"/>
                <w:szCs w:val="18"/>
              </w:rPr>
              <w:t xml:space="preserve">Notes</w:t>
            </w:r>
          </w:p>
        </w:tc>
      </w:tr>
      <w:tr>
        <w:tc>
          <w:tcPr>
            <w:tcW w:type="dxa" w:w="1500"/>
          </w:tcPr>
          <w:p>
            <w:r>
              <w:rPr>
                <w:rFonts w:ascii="Inter" w:cs="Inter" w:eastAsia="Inter" w:hAnsi="Inter"/>
                <w:sz w:val="19"/>
                <w:szCs w:val="19"/>
              </w:rPr>
              <w:t xml:space="preserve">1.0</w:t>
            </w:r>
          </w:p>
        </w:tc>
        <w:tc>
          <w:tcPr>
            <w:tcW w:type="dxa" w:w="2200"/>
          </w:tcPr>
          <w:p>
            <w:r>
              <w:rPr>
                <w:rFonts w:ascii="Inter" w:cs="Inter" w:eastAsia="Inter" w:hAnsi="Inter"/>
                <w:sz w:val="19"/>
                <w:szCs w:val="19"/>
              </w:rPr>
              <w:t xml:space="preserve">2026</w:t>
            </w:r>
          </w:p>
        </w:tc>
        <w:tc>
          <w:tcPr>
            <w:tcW w:type="dxa" w:w="5600"/>
          </w:tcPr>
          <w:p>
            <w:r>
              <w:rPr>
                <w:rFonts w:ascii="Inter" w:cs="Inter" w:eastAsia="Inter" w:hAnsi="Inter"/>
                <w:sz w:val="19"/>
                <w:szCs w:val="19"/>
              </w:rPr>
              <w:t xml:space="preserve">Initial brand system: logo suite, color palette, typography, voice &amp; tone.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e7347f3518cd611f5b7cd05c6975c61502b6ab.png"/><Relationship Id="rId8" Type="http://schemas.openxmlformats.org/officeDocument/2006/relationships/image" Target="media/d80fa20f58fe041607dc298d19aedec13006cca6.png"/><Relationship Id="rId9" Type="http://schemas.openxmlformats.org/officeDocument/2006/relationships/image" Target="media/efedb8a4415459876cc4a201d5e571649584b021.png"/><Relationship Id="rId10" Type="http://schemas.openxmlformats.org/officeDocument/2006/relationships/image" Target="media/69699e01aecc9adccf26276b7183ff6d41ce2718.png"/><Relationship Id="rId11" Type="http://schemas.openxmlformats.org/officeDocument/2006/relationships/image" Target="media/51acb3237462278aecda757727a85ba8effefe9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2026-08-25T22:21:53.428Z</dcterms:created>
  <dcterms:modified xsi:type="dcterms:W3CDTF">2026-08-25T22:21:53.429Z</dcterms:modified>
</cp:coreProperties>
</file>

<file path=docProps/custom.xml><?xml version="1.0" encoding="utf-8"?>
<Properties xmlns="http://schemas.openxmlformats.org/officeDocument/2006/custom-properties" xmlns:vt="http://schemas.openxmlformats.org/officeDocument/2006/docPropsVTypes"/>
</file>