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sz w:val="48"/>
          <w:szCs w:val="48"/>
        </w:rPr>
        <w:t xml:space="preserve">EntryLab Content Audit Report</w:t>
      </w:r>
    </w:p>
    <w:p>
      <w:pPr>
        <w:spacing w:after="200"/>
        <w:jc w:val="center"/>
      </w:pPr>
      <w:r>
        <w:rPr>
          <w:rFonts w:ascii="Arial" w:cs="Arial" w:eastAsia="Arial" w:hAnsi="Arial"/>
          <w:color w:val="666666"/>
          <w:sz w:val="28"/>
          <w:szCs w:val="28"/>
        </w:rPr>
        <w:t xml:space="preserve">Page-by-Page SSR, Content &amp; SEO Analysis</w:t>
      </w:r>
    </w:p>
    <w:p>
      <w:pPr>
        <w:spacing w:after="600"/>
        <w:jc w:val="center"/>
      </w:pPr>
      <w:r>
        <w:rPr>
          <w:rFonts w:ascii="Arial" w:cs="Arial" w:eastAsia="Arial" w:hAnsi="Arial"/>
          <w:color w:val="999999"/>
          <w:sz w:val="24"/>
          <w:szCs w:val="24"/>
        </w:rPr>
        <w:t xml:space="preserve">March 17, 2026</w:t>
      </w:r>
    </w:p>
    <w:p>
      <w:pPr>
        <w:spacing w:after="200"/>
        <w:jc w:val="center"/>
      </w:pPr>
      <w:r>
        <w:rPr>
          <w:rFonts w:ascii="Arial" w:cs="Arial" w:eastAsia="Arial" w:hAnsi="Arial"/>
          <w:sz w:val="22"/>
          <w:szCs w:val="22"/>
        </w:rPr>
        <w:t xml:space="preserve">9 pages audited across 4 content types</w:t>
      </w:r>
    </w:p>
    <w:p>
      <w:pPr>
        <w:jc w:val="center"/>
      </w:pPr>
      <w:r>
        <w:rPr>
          <w:rFonts w:ascii="Arial" w:cs="Arial" w:eastAsia="Arial" w:hAnsi="Arial"/>
          <w:color w:val="666666"/>
          <w:sz w:val="22"/>
          <w:szCs w:val="22"/>
        </w:rPr>
        <w:t xml:space="preserve">Broker Reviews • Prop Firm Reviews • Broker Guides • Comparisons</w:t>
      </w:r>
    </w:p>
    <w:p>
      <w:r>
        <w:br w:type="page"/>
      </w:r>
    </w:p>
    <w:p>
      <w:pPr>
        <w:pStyle w:val="Heading1"/>
        <w:spacing w:after="150" w:before="300"/>
      </w:pPr>
      <w:r>
        <w:rPr>
          <w:rFonts w:ascii="Arial" w:cs="Arial" w:eastAsia="Arial" w:hAnsi="Arial"/>
        </w:rPr>
        <w:t xml:space="preserve">Executive Summary</w:t>
      </w:r>
    </w:p>
    <w:p>
      <w:pPr>
        <w:spacing w:after="120"/>
      </w:pPr>
      <w:r>
        <w:rPr>
          <w:rFonts w:ascii="Arial" w:cs="Arial" w:eastAsia="Arial" w:hAnsi="Arial"/>
          <w:sz w:val="22"/>
          <w:szCs w:val="22"/>
        </w:rPr>
        <w:t xml:space="preserve">This audit examined 9 content pages across entrylab.io covering broker reviews, prop firm reviews, and broker guides. The goal was to assess SSR content injection, content completeness, SEO readiness, and rendering quality for each page.</w:t>
      </w:r>
    </w:p>
    <w:p>
      <w:pPr>
        <w:pStyle w:val="Heading2"/>
        <w:spacing w:after="150" w:before="300"/>
      </w:pPr>
      <w:r>
        <w:rPr>
          <w:rFonts w:ascii="Arial" w:cs="Arial" w:eastAsia="Arial" w:hAnsi="Arial"/>
        </w:rPr>
        <w:t xml:space="preserve">Global Issues (Affect All/Most Pages)</w:t>
      </w:r>
    </w:p>
    <w:p>
      <w:pPr>
        <w:pStyle w:val="ListParagraph"/>
        <w:numPr>
          <w:ilvl w:val="0"/>
          <w:numId w:val="2"/>
        </w:numPr>
        <w:spacing w:after="60"/>
      </w:pPr>
      <w:r>
        <w:rPr>
          <w:rFonts w:ascii="Arial" w:cs="Arial" w:eastAsia="Arial" w:hAnsi="Arial"/>
          <w:sz w:val="22"/>
          <w:szCs w:val="22"/>
        </w:rPr>
        <w:t xml:space="preserve">SSR Content Duplication (9/9 pages affected): Every page that successfully renders content shows it twice in the HTML. The SSR injection inserts the full content, then React hydration re-renders it. Crawlers and fetch tools see doubled content. This is the single most impactful fix needed.</w:t>
      </w:r>
    </w:p>
    <w:p>
      <w:pPr>
        <w:pStyle w:val="ListParagraph"/>
        <w:numPr>
          <w:ilvl w:val="0"/>
          <w:numId w:val="2"/>
        </w:numPr>
        <w:spacing w:after="60"/>
      </w:pPr>
      <w:r>
        <w:rPr>
          <w:rFonts w:ascii="Arial" w:cs="Arial" w:eastAsia="Arial" w:hAnsi="Arial"/>
          <w:sz w:val="22"/>
          <w:szCs w:val="22"/>
        </w:rPr>
        <w:t xml:space="preserve">Content Truncation (4/9 pages affected): Moneta Markets, Tradu, Smart Trader Funds, and (previously noted) Eightcap all have review bodies that cut off mid-sentence. This suggests either a TEXT column length issue in PostgreSQL (unlikely with TEXT type) or a buffer/string size limit in the SSR injection middleware.</w:t>
      </w:r>
    </w:p>
    <w:p>
      <w:pPr>
        <w:pStyle w:val="ListParagraph"/>
        <w:numPr>
          <w:ilvl w:val="0"/>
          <w:numId w:val="2"/>
        </w:numPr>
        <w:spacing w:after="60"/>
      </w:pPr>
      <w:r>
        <w:rPr>
          <w:rFonts w:ascii="Arial" w:cs="Arial" w:eastAsia="Arial" w:hAnsi="Arial"/>
          <w:sz w:val="22"/>
          <w:szCs w:val="22"/>
        </w:rPr>
        <w:t xml:space="preserve">Old WordPress Internal Links (2/9 pages affected): Both broker guide articles contain links to /popular-broker/gatesfx-review/ which is an old WordPress URL path, not the current /broker/gatesfx-review route.</w:t>
      </w:r>
    </w:p>
    <w:p>
      <w:r>
        <w:br w:type="page"/>
      </w:r>
    </w:p>
    <w:p>
      <w:pPr>
        <w:pStyle w:val="Heading1"/>
        <w:spacing w:after="150" w:before="300"/>
      </w:pPr>
      <w:r>
        <w:rPr>
          <w:rFonts w:ascii="Arial" w:cs="Arial" w:eastAsia="Arial" w:hAnsi="Arial"/>
        </w:rPr>
        <w:t xml:space="preserve">Summary Matrix</w:t>
      </w:r>
    </w:p>
    <w:p>
      <w:pPr>
        <w:spacing w:after="120"/>
      </w:pPr>
      <w:r>
        <w:rPr>
          <w:rFonts w:ascii="Arial" w:cs="Arial" w:eastAsia="Arial" w:hAnsi="Arial"/>
          <w:sz w:val="22"/>
          <w:szCs w:val="22"/>
        </w:rPr>
        <w:t xml:space="preserve">Status key: PASS = working correctly, FAIL = broken/missing, WARNING = works but has issues, PARTIAL = incomplete, N/A = not applicable to this page type.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1000"/>
        <w:gridCol w:w="1000"/>
        <w:gridCol w:w="100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Body</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SSR Dup</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Truncated</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Specs</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Pros/Cons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TMGM</w:t>
            </w:r>
          </w:p>
        </w:tc>
        <w:tc>
          <w:tcPr>
            <w:tcW w:type="dxa" w:w="10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c>
          <w:tcPr>
            <w:tcW w:type="dxa" w:w="10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WARNING</w:t>
            </w:r>
          </w:p>
        </w:tc>
        <w:tc>
          <w:tcPr>
            <w:tcW w:type="dxa" w:w="10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c>
          <w:tcPr>
            <w:tcW w:type="dxa" w:w="10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c>
          <w:tcPr>
            <w:tcW w:type="dxa" w:w="10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Moneta Markets</w:t>
            </w:r>
          </w:p>
        </w:tc>
        <w:tc>
          <w:tcPr>
            <w:tcW w:type="dxa" w:w="10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c>
          <w:tcPr>
            <w:tcW w:type="dxa" w:w="10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WARNING</w:t>
            </w:r>
          </w:p>
        </w:tc>
        <w:tc>
          <w:tcPr>
            <w:tcW w:type="dxa" w:w="10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WARNING</w:t>
            </w:r>
          </w:p>
        </w:tc>
        <w:tc>
          <w:tcPr>
            <w:tcW w:type="dxa" w:w="10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c>
          <w:tcPr>
            <w:tcW w:type="dxa" w:w="10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PARTIAL</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Tradu</w:t>
            </w:r>
          </w:p>
        </w:tc>
        <w:tc>
          <w:tcPr>
            <w:tcW w:type="dxa" w:w="10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c>
          <w:tcPr>
            <w:tcW w:type="dxa" w:w="10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WARNING</w:t>
            </w:r>
          </w:p>
        </w:tc>
        <w:tc>
          <w:tcPr>
            <w:tcW w:type="dxa" w:w="10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WARNING</w:t>
            </w:r>
          </w:p>
        </w:tc>
        <w:tc>
          <w:tcPr>
            <w:tcW w:type="dxa" w:w="10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c>
          <w:tcPr>
            <w:tcW w:type="dxa" w:w="10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PARTIAL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AvaTrade</w:t>
            </w:r>
          </w:p>
        </w:tc>
        <w:tc>
          <w:tcPr>
            <w:tcW w:type="dxa" w:w="10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c>
          <w:tcPr>
            <w:tcW w:type="dxa" w:w="10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WARNING</w:t>
            </w:r>
          </w:p>
        </w:tc>
        <w:tc>
          <w:tcPr>
            <w:tcW w:type="dxa" w:w="10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c>
          <w:tcPr>
            <w:tcW w:type="dxa" w:w="10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c>
          <w:tcPr>
            <w:tcW w:type="dxa" w:w="10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LiquidBrokers</w:t>
            </w:r>
          </w:p>
        </w:tc>
        <w:tc>
          <w:tcPr>
            <w:tcW w:type="dxa" w:w="10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c>
          <w:tcPr>
            <w:tcW w:type="dxa" w:w="10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WARNING</w:t>
            </w:r>
          </w:p>
        </w:tc>
        <w:tc>
          <w:tcPr>
            <w:tcW w:type="dxa" w:w="10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c>
          <w:tcPr>
            <w:tcW w:type="dxa" w:w="10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c>
          <w:tcPr>
            <w:tcW w:type="dxa" w:w="10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GatesFX</w:t>
            </w:r>
          </w:p>
        </w:tc>
        <w:tc>
          <w:tcPr>
            <w:tcW w:type="dxa" w:w="10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FAIL</w:t>
            </w:r>
          </w:p>
        </w:tc>
        <w:tc>
          <w:tcPr>
            <w:tcW w:type="dxa" w:w="1000"/>
            <w:tcBorders>
              <w:top w:val="single" w:color="CCCCCC" w:sz="1"/>
              <w:left w:val="single" w:color="CCCCCC" w:sz="1"/>
              <w:bottom w:val="single" w:color="CCCCCC" w:sz="1"/>
              <w:right w:val="single" w:color="CCCCCC" w:sz="1"/>
            </w:tcBorders>
            <w:shd w:fill="CCCCC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w:t>
            </w:r>
          </w:p>
        </w:tc>
        <w:tc>
          <w:tcPr>
            <w:tcW w:type="dxa" w:w="1000"/>
            <w:tcBorders>
              <w:top w:val="single" w:color="CCCCCC" w:sz="1"/>
              <w:left w:val="single" w:color="CCCCCC" w:sz="1"/>
              <w:bottom w:val="single" w:color="CCCCCC" w:sz="1"/>
              <w:right w:val="single" w:color="CCCCCC" w:sz="1"/>
            </w:tcBorders>
            <w:shd w:fill="CCCCC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w:t>
            </w:r>
          </w:p>
        </w:tc>
        <w:tc>
          <w:tcPr>
            <w:tcW w:type="dxa" w:w="10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FAIL</w:t>
            </w:r>
          </w:p>
        </w:tc>
        <w:tc>
          <w:tcPr>
            <w:tcW w:type="dxa" w:w="10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FAIL</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Smart Trader Funds</w:t>
            </w:r>
          </w:p>
        </w:tc>
        <w:tc>
          <w:tcPr>
            <w:tcW w:type="dxa" w:w="10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c>
          <w:tcPr>
            <w:tcW w:type="dxa" w:w="10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WARNING</w:t>
            </w:r>
          </w:p>
        </w:tc>
        <w:tc>
          <w:tcPr>
            <w:tcW w:type="dxa" w:w="10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WARNING</w:t>
            </w:r>
          </w:p>
        </w:tc>
        <w:tc>
          <w:tcPr>
            <w:tcW w:type="dxa" w:w="10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PARTIAL</w:t>
            </w:r>
          </w:p>
        </w:tc>
        <w:tc>
          <w:tcPr>
            <w:tcW w:type="dxa" w:w="10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GatesFX vs HankoTrade Guide</w:t>
            </w:r>
          </w:p>
        </w:tc>
        <w:tc>
          <w:tcPr>
            <w:tcW w:type="dxa" w:w="10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c>
          <w:tcPr>
            <w:tcW w:type="dxa" w:w="10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WARNING</w:t>
            </w:r>
          </w:p>
        </w:tc>
        <w:tc>
          <w:tcPr>
            <w:tcW w:type="dxa" w:w="10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c>
          <w:tcPr>
            <w:tcW w:type="dxa" w:w="1000"/>
            <w:tcBorders>
              <w:top w:val="single" w:color="CCCCCC" w:sz="1"/>
              <w:left w:val="single" w:color="CCCCCC" w:sz="1"/>
              <w:bottom w:val="single" w:color="CCCCCC" w:sz="1"/>
              <w:right w:val="single" w:color="CCCCCC" w:sz="1"/>
            </w:tcBorders>
            <w:shd w:fill="CCCCC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w:t>
            </w:r>
          </w:p>
        </w:tc>
        <w:tc>
          <w:tcPr>
            <w:tcW w:type="dxa" w:w="1000"/>
            <w:tcBorders>
              <w:top w:val="single" w:color="CCCCCC" w:sz="1"/>
              <w:left w:val="single" w:color="CCCCCC" w:sz="1"/>
              <w:bottom w:val="single" w:color="CCCCCC" w:sz="1"/>
              <w:right w:val="single" w:color="CCCCCC" w:sz="1"/>
            </w:tcBorders>
            <w:shd w:fill="CCCCC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GatesFX Withdrawal Guide</w:t>
            </w:r>
          </w:p>
        </w:tc>
        <w:tc>
          <w:tcPr>
            <w:tcW w:type="dxa" w:w="10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c>
          <w:tcPr>
            <w:tcW w:type="dxa" w:w="10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WARNING</w:t>
            </w:r>
          </w:p>
        </w:tc>
        <w:tc>
          <w:tcPr>
            <w:tcW w:type="dxa" w:w="10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c>
          <w:tcPr>
            <w:tcW w:type="dxa" w:w="1000"/>
            <w:tcBorders>
              <w:top w:val="single" w:color="CCCCCC" w:sz="1"/>
              <w:left w:val="single" w:color="CCCCCC" w:sz="1"/>
              <w:bottom w:val="single" w:color="CCCCCC" w:sz="1"/>
              <w:right w:val="single" w:color="CCCCCC" w:sz="1"/>
            </w:tcBorders>
            <w:shd w:fill="CCCCC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w:t>
            </w:r>
          </w:p>
        </w:tc>
        <w:tc>
          <w:tcPr>
            <w:tcW w:type="dxa" w:w="1000"/>
            <w:tcBorders>
              <w:top w:val="single" w:color="CCCCCC" w:sz="1"/>
              <w:left w:val="single" w:color="CCCCCC" w:sz="1"/>
              <w:bottom w:val="single" w:color="CCCCCC" w:sz="1"/>
              <w:right w:val="single" w:color="CCCCCC" w:sz="1"/>
            </w:tcBorders>
            <w:shd w:fill="CCCCC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w:t>
            </w:r>
          </w:p>
        </w:tc>
      </w:tr>
    </w:tbl>
    <w:p>
      <w:r>
        <w:br w:type="page"/>
      </w:r>
    </w:p>
    <w:p>
      <w:pPr>
        <w:pStyle w:val="Heading1"/>
        <w:spacing w:after="150" w:before="300"/>
      </w:pPr>
      <w:r>
        <w:rPr>
          <w:rFonts w:ascii="Arial" w:cs="Arial" w:eastAsia="Arial" w:hAnsi="Arial"/>
        </w:rPr>
        <w:t xml:space="preserve">Individual Page Reports</w:t>
      </w:r>
    </w:p>
    <w:p>
      <w:pPr>
        <w:pStyle w:val="Heading2"/>
        <w:spacing w:after="150" w:before="300"/>
      </w:pPr>
      <w:r>
        <w:rPr>
          <w:rFonts w:ascii="Arial" w:cs="Arial" w:eastAsia="Arial" w:hAnsi="Arial"/>
        </w:rPr>
        <w:t xml:space="preserve">1. TMGM — /broker/tmgm</w:t>
      </w:r>
    </w:p>
    <w:p>
      <w:pPr>
        <w:spacing w:after="120"/>
      </w:pPr>
      <w:r>
        <w:rPr>
          <w:rFonts w:ascii="Arial" w:cs="Arial" w:eastAsia="Arial" w:hAnsi="Arial"/>
          <w:b/>
          <w:bCs/>
          <w:sz w:val="22"/>
          <w:szCs w:val="22"/>
        </w:rPr>
        <w:t xml:space="preserve">URL: </w:t>
      </w:r>
      <w:r>
        <w:rPr>
          <w:rFonts w:ascii="Arial" w:cs="Arial" w:eastAsia="Arial" w:hAnsi="Arial"/>
          <w:sz w:val="22"/>
          <w:szCs w:val="22"/>
        </w:rPr>
        <w:t xml:space="preserve">https://entrylab.io/broker/tmgm</w:t>
      </w:r>
    </w:p>
    <w:p>
      <w:pPr>
        <w:spacing w:after="120"/>
      </w:pPr>
      <w:r>
        <w:rPr>
          <w:rFonts w:ascii="Arial" w:cs="Arial" w:eastAsia="Arial" w:hAnsi="Arial"/>
          <w:b/>
          <w:bCs/>
          <w:sz w:val="22"/>
          <w:szCs w:val="22"/>
        </w:rPr>
        <w:t xml:space="preserve">Content Type: </w:t>
      </w:r>
      <w:r>
        <w:rPr>
          <w:rFonts w:ascii="Arial" w:cs="Arial" w:eastAsia="Arial" w:hAnsi="Arial"/>
          <w:sz w:val="22"/>
          <w:szCs w:val="22"/>
        </w:rPr>
        <w:t xml:space="preserve">Broker Review</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Body Renders</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SSR Duplication</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Truncated</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Spec Fields</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Pros/Cons</w:t>
            </w:r>
          </w:p>
        </w:tc>
      </w:tr>
      <w:tr>
        <w:tc>
          <w:tcPr>
            <w:tcW w:type="dxa" w:w="1872"/>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c>
          <w:tcPr>
            <w:tcW w:type="dxa" w:w="1872"/>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WARNING</w:t>
            </w:r>
          </w:p>
        </w:tc>
        <w:tc>
          <w:tcPr>
            <w:tcW w:type="dxa" w:w="1872"/>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c>
          <w:tcPr>
            <w:tcW w:type="dxa" w:w="1872"/>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c>
          <w:tcPr>
            <w:tcW w:type="dxa" w:w="1872"/>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r>
    </w:tbl>
    <w:p>
      <w:pPr>
        <w:pStyle w:val="Heading3"/>
        <w:spacing w:after="150" w:before="300"/>
      </w:pPr>
      <w:r>
        <w:rPr>
          <w:rFonts w:ascii="Arial" w:cs="Arial" w:eastAsia="Arial" w:hAnsi="Arial"/>
        </w:rPr>
        <w:t xml:space="preserve">Findings</w:t>
      </w:r>
    </w:p>
    <w:p>
      <w:pPr>
        <w:pStyle w:val="ListParagraph"/>
        <w:numPr>
          <w:ilvl w:val="0"/>
          <w:numId w:val="3"/>
        </w:numPr>
        <w:spacing w:after="60"/>
      </w:pPr>
      <w:r>
        <w:rPr>
          <w:rFonts w:ascii="Arial" w:cs="Arial" w:eastAsia="Arial" w:hAnsi="Arial"/>
          <w:sz w:val="22"/>
          <w:szCs w:val="22"/>
        </w:rPr>
        <w:t xml:space="preserve">Full review body renders correctly: Executive Summary, Key Takeaways, Regulation table, Account Types, Platforms, Funding, Education, Pros/Cons, Verdict.</w:t>
      </w:r>
    </w:p>
    <w:p>
      <w:pPr>
        <w:pStyle w:val="ListParagraph"/>
        <w:numPr>
          <w:ilvl w:val="0"/>
          <w:numId w:val="3"/>
        </w:numPr>
        <w:spacing w:after="60"/>
      </w:pPr>
      <w:r>
        <w:rPr>
          <w:rFonts w:ascii="Arial" w:cs="Arial" w:eastAsia="Arial" w:hAnsi="Arial"/>
          <w:sz w:val="22"/>
          <w:szCs w:val="22"/>
        </w:rPr>
        <w:t xml:space="preserve">All spec sidebar fields populated: Rating (4.00), Regulation, Min Deposit, Max Leverage, Spreads, Platforms, Deposit Methods, HQ.</w:t>
      </w:r>
    </w:p>
    <w:p>
      <w:pPr>
        <w:pStyle w:val="ListParagraph"/>
        <w:numPr>
          <w:ilvl w:val="0"/>
          <w:numId w:val="3"/>
        </w:numPr>
        <w:spacing w:after="60"/>
      </w:pPr>
      <w:r>
        <w:rPr>
          <w:rFonts w:ascii="Arial" w:cs="Arial" w:eastAsia="Arial" w:hAnsi="Arial"/>
          <w:sz w:val="22"/>
          <w:szCs w:val="22"/>
        </w:rPr>
        <w:t xml:space="preserve">Pros/Cons lists render but with broken formatting — bullet items containing commas are split across multiple list items (e.g. "Robust Tier-1 regulation (ASIC" appears as one bullet, then "FMA NZ)." as a separate bullet). This is a data storage or rendering issue where commas inside parentheses are being treated as delimiters.</w:t>
      </w:r>
    </w:p>
    <w:p>
      <w:pPr>
        <w:pStyle w:val="Heading3"/>
        <w:spacing w:after="150" w:before="300"/>
      </w:pPr>
      <w:r>
        <w:rPr>
          <w:rFonts w:ascii="Arial" w:cs="Arial" w:eastAsia="Arial" w:hAnsi="Arial"/>
        </w:rPr>
        <w:t xml:space="preserve">Required Fixes</w:t>
      </w:r>
    </w:p>
    <w:p>
      <w:pPr>
        <w:pStyle w:val="ListParagraph"/>
        <w:numPr>
          <w:ilvl w:val="0"/>
          <w:numId w:val="4"/>
        </w:numPr>
        <w:spacing w:after="60"/>
      </w:pPr>
      <w:r>
        <w:rPr>
          <w:rFonts w:ascii="Arial" w:cs="Arial" w:eastAsia="Arial" w:hAnsi="Arial"/>
          <w:sz w:val="22"/>
          <w:szCs w:val="22"/>
        </w:rPr>
        <w:t xml:space="preserve">FIX (Critical): SSR content duplication — entire page content (spec card + full review) appears twice in the HTML. Likely the SSR injection inserts content, then React hydration re-renders it. Crawlers see doubled content.</w:t>
      </w:r>
    </w:p>
    <w:p>
      <w:pPr>
        <w:pStyle w:val="ListParagraph"/>
        <w:numPr>
          <w:ilvl w:val="0"/>
          <w:numId w:val="4"/>
        </w:numPr>
        <w:spacing w:after="60"/>
      </w:pPr>
      <w:r>
        <w:rPr>
          <w:rFonts w:ascii="Arial" w:cs="Arial" w:eastAsia="Arial" w:hAnsi="Arial"/>
          <w:sz w:val="22"/>
          <w:szCs w:val="22"/>
        </w:rPr>
        <w:t xml:space="preserve">FIX (Medium): Pros/Cons comma-splitting — review how pros/cons arrays are stored and rendered. If stored as comma-separated strings, items with internal commas break. Consider using a different delimiter or storing as JSON arrays.</w:t>
      </w:r>
    </w:p>
    <w:p>
      <w:pPr>
        <w:pStyle w:val="ListParagraph"/>
        <w:numPr>
          <w:ilvl w:val="0"/>
          <w:numId w:val="4"/>
        </w:numPr>
        <w:spacing w:after="60"/>
      </w:pPr>
      <w:r>
        <w:rPr>
          <w:rFonts w:ascii="Arial" w:cs="Arial" w:eastAsia="Arial" w:hAnsi="Arial"/>
          <w:sz w:val="22"/>
          <w:szCs w:val="22"/>
        </w:rPr>
        <w:t xml:space="preserve">FIX (Low): Trust score uses a different scale (4.2/5) than other reviews (which use X/99 or X/5 rating). Consider standardising.</w:t>
      </w:r>
    </w:p>
    <w:p>
      <w:r>
        <w:br w:type="page"/>
      </w:r>
    </w:p>
    <w:p>
      <w:pPr>
        <w:pStyle w:val="Heading2"/>
        <w:spacing w:after="150" w:before="300"/>
      </w:pPr>
      <w:r>
        <w:rPr>
          <w:rFonts w:ascii="Arial" w:cs="Arial" w:eastAsia="Arial" w:hAnsi="Arial"/>
        </w:rPr>
        <w:t xml:space="preserve">2. Moneta Markets — /broker/moneta-markets</w:t>
      </w:r>
    </w:p>
    <w:p>
      <w:pPr>
        <w:spacing w:after="120"/>
      </w:pPr>
      <w:r>
        <w:rPr>
          <w:rFonts w:ascii="Arial" w:cs="Arial" w:eastAsia="Arial" w:hAnsi="Arial"/>
          <w:b/>
          <w:bCs/>
          <w:sz w:val="22"/>
          <w:szCs w:val="22"/>
        </w:rPr>
        <w:t xml:space="preserve">URL: </w:t>
      </w:r>
      <w:r>
        <w:rPr>
          <w:rFonts w:ascii="Arial" w:cs="Arial" w:eastAsia="Arial" w:hAnsi="Arial"/>
          <w:sz w:val="22"/>
          <w:szCs w:val="22"/>
        </w:rPr>
        <w:t xml:space="preserve">https://entrylab.io/broker/moneta-markets</w:t>
      </w:r>
    </w:p>
    <w:p>
      <w:pPr>
        <w:spacing w:after="120"/>
      </w:pPr>
      <w:r>
        <w:rPr>
          <w:rFonts w:ascii="Arial" w:cs="Arial" w:eastAsia="Arial" w:hAnsi="Arial"/>
          <w:b/>
          <w:bCs/>
          <w:sz w:val="22"/>
          <w:szCs w:val="22"/>
        </w:rPr>
        <w:t xml:space="preserve">Content Type: </w:t>
      </w:r>
      <w:r>
        <w:rPr>
          <w:rFonts w:ascii="Arial" w:cs="Arial" w:eastAsia="Arial" w:hAnsi="Arial"/>
          <w:sz w:val="22"/>
          <w:szCs w:val="22"/>
        </w:rPr>
        <w:t xml:space="preserve">Broker Review</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Body Renders</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SSR Duplication</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Truncated</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Spec Fields</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Pros/Cons</w:t>
            </w:r>
          </w:p>
        </w:tc>
      </w:tr>
      <w:tr>
        <w:tc>
          <w:tcPr>
            <w:tcW w:type="dxa" w:w="1872"/>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c>
          <w:tcPr>
            <w:tcW w:type="dxa" w:w="1872"/>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WARNING</w:t>
            </w:r>
          </w:p>
        </w:tc>
        <w:tc>
          <w:tcPr>
            <w:tcW w:type="dxa" w:w="1872"/>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WARNING</w:t>
            </w:r>
          </w:p>
        </w:tc>
        <w:tc>
          <w:tcPr>
            <w:tcW w:type="dxa" w:w="1872"/>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c>
          <w:tcPr>
            <w:tcW w:type="dxa" w:w="1872"/>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PARTIAL</w:t>
            </w:r>
          </w:p>
        </w:tc>
      </w:tr>
    </w:tbl>
    <w:p>
      <w:pPr>
        <w:pStyle w:val="Heading3"/>
        <w:spacing w:after="150" w:before="300"/>
      </w:pPr>
      <w:r>
        <w:rPr>
          <w:rFonts w:ascii="Arial" w:cs="Arial" w:eastAsia="Arial" w:hAnsi="Arial"/>
        </w:rPr>
        <w:t xml:space="preserve">Findings</w:t>
      </w:r>
    </w:p>
    <w:p>
      <w:pPr>
        <w:pStyle w:val="ListParagraph"/>
        <w:numPr>
          <w:ilvl w:val="0"/>
          <w:numId w:val="3"/>
        </w:numPr>
        <w:spacing w:after="60"/>
      </w:pPr>
      <w:r>
        <w:rPr>
          <w:rFonts w:ascii="Arial" w:cs="Arial" w:eastAsia="Arial" w:hAnsi="Arial"/>
          <w:sz w:val="22"/>
          <w:szCs w:val="22"/>
        </w:rPr>
        <w:t xml:space="preserve">Full review body renders: Executive Summary, Key Takeaways, Regulation table, Account Types, Platforms, Funding, Education, Strengths/Weaknesses, Verdict.</w:t>
      </w:r>
    </w:p>
    <w:p>
      <w:pPr>
        <w:pStyle w:val="ListParagraph"/>
        <w:numPr>
          <w:ilvl w:val="0"/>
          <w:numId w:val="3"/>
        </w:numPr>
        <w:spacing w:after="60"/>
      </w:pPr>
      <w:r>
        <w:rPr>
          <w:rFonts w:ascii="Arial" w:cs="Arial" w:eastAsia="Arial" w:hAnsi="Arial"/>
          <w:sz w:val="22"/>
          <w:szCs w:val="22"/>
        </w:rPr>
        <w:t xml:space="preserve">All spec sidebar fields populated correctly.</w:t>
      </w:r>
    </w:p>
    <w:p>
      <w:pPr>
        <w:pStyle w:val="ListParagraph"/>
        <w:numPr>
          <w:ilvl w:val="0"/>
          <w:numId w:val="3"/>
        </w:numPr>
        <w:spacing w:after="60"/>
      </w:pPr>
      <w:r>
        <w:rPr>
          <w:rFonts w:ascii="Arial" w:cs="Arial" w:eastAsia="Arial" w:hAnsi="Arial"/>
          <w:sz w:val="22"/>
          <w:szCs w:val="22"/>
        </w:rPr>
        <w:t xml:space="preserve">Cons section is EMPTY — no cons listed at all. This hurts credibility and SEO (readers expect balanced reviews).</w:t>
      </w:r>
    </w:p>
    <w:p>
      <w:pPr>
        <w:pStyle w:val="ListParagraph"/>
        <w:numPr>
          <w:ilvl w:val="0"/>
          <w:numId w:val="3"/>
        </w:numPr>
        <w:spacing w:after="60"/>
      </w:pPr>
      <w:r>
        <w:rPr>
          <w:rFonts w:ascii="Arial" w:cs="Arial" w:eastAsia="Arial" w:hAnsi="Arial"/>
          <w:sz w:val="22"/>
          <w:szCs w:val="22"/>
        </w:rPr>
        <w:t xml:space="preserve">Review body gets cut off mid-sentence at the end — stops at "...the user experience of their client portal or educational re" — clear truncation.</w:t>
      </w:r>
    </w:p>
    <w:p>
      <w:pPr>
        <w:pStyle w:val="Heading3"/>
        <w:spacing w:after="150" w:before="300"/>
      </w:pPr>
      <w:r>
        <w:rPr>
          <w:rFonts w:ascii="Arial" w:cs="Arial" w:eastAsia="Arial" w:hAnsi="Arial"/>
        </w:rPr>
        <w:t xml:space="preserve">Required Fixes</w:t>
      </w:r>
    </w:p>
    <w:p>
      <w:pPr>
        <w:pStyle w:val="ListParagraph"/>
        <w:numPr>
          <w:ilvl w:val="0"/>
          <w:numId w:val="4"/>
        </w:numPr>
        <w:spacing w:after="60"/>
      </w:pPr>
      <w:r>
        <w:rPr>
          <w:rFonts w:ascii="Arial" w:cs="Arial" w:eastAsia="Arial" w:hAnsi="Arial"/>
          <w:sz w:val="22"/>
          <w:szCs w:val="22"/>
        </w:rPr>
        <w:t xml:space="preserve">FIX (Critical): SSR content duplication — same doubling issue as other reviews.</w:t>
      </w:r>
    </w:p>
    <w:p>
      <w:pPr>
        <w:pStyle w:val="ListParagraph"/>
        <w:numPr>
          <w:ilvl w:val="0"/>
          <w:numId w:val="4"/>
        </w:numPr>
        <w:spacing w:after="60"/>
      </w:pPr>
      <w:r>
        <w:rPr>
          <w:rFonts w:ascii="Arial" w:cs="Arial" w:eastAsia="Arial" w:hAnsi="Arial"/>
          <w:sz w:val="22"/>
          <w:szCs w:val="22"/>
        </w:rPr>
        <w:t xml:space="preserve">FIX (Critical): Review body truncated — the content is being cut off, likely a character limit in the DB column or in the SSR injection. Check the text column type (should be TEXT not VARCHAR) and the SSR buffer size.</w:t>
      </w:r>
    </w:p>
    <w:p>
      <w:pPr>
        <w:pStyle w:val="ListParagraph"/>
        <w:numPr>
          <w:ilvl w:val="0"/>
          <w:numId w:val="4"/>
        </w:numPr>
        <w:spacing w:after="60"/>
      </w:pPr>
      <w:r>
        <w:rPr>
          <w:rFonts w:ascii="Arial" w:cs="Arial" w:eastAsia="Arial" w:hAnsi="Arial"/>
          <w:sz w:val="22"/>
          <w:szCs w:val="22"/>
        </w:rPr>
        <w:t xml:space="preserve">FIX (High): Empty Cons list — the Cons section renders but contains no items. This needs editorial attention; every review should have cons for credibility.</w:t>
      </w:r>
    </w:p>
    <w:p>
      <w:pPr>
        <w:pStyle w:val="ListParagraph"/>
        <w:numPr>
          <w:ilvl w:val="0"/>
          <w:numId w:val="4"/>
        </w:numPr>
        <w:spacing w:after="60"/>
      </w:pPr>
      <w:r>
        <w:rPr>
          <w:rFonts w:ascii="Arial" w:cs="Arial" w:eastAsia="Arial" w:hAnsi="Arial"/>
          <w:sz w:val="22"/>
          <w:szCs w:val="22"/>
        </w:rPr>
        <w:t xml:space="preserve">FIX (Medium): Pros list has same comma-splitting issue as TMGM — "TradingView-powered platform", "FCA regulated", "copy trading" each appear as separate short bullets but at least aren't broken mid-phrase here.</w:t>
      </w:r>
    </w:p>
    <w:p>
      <w:r>
        <w:br w:type="page"/>
      </w:r>
    </w:p>
    <w:p>
      <w:pPr>
        <w:pStyle w:val="Heading2"/>
        <w:spacing w:after="150" w:before="300"/>
      </w:pPr>
      <w:r>
        <w:rPr>
          <w:rFonts w:ascii="Arial" w:cs="Arial" w:eastAsia="Arial" w:hAnsi="Arial"/>
        </w:rPr>
        <w:t xml:space="preserve">3. Tradu — /broker/tradu</w:t>
      </w:r>
    </w:p>
    <w:p>
      <w:pPr>
        <w:spacing w:after="120"/>
      </w:pPr>
      <w:r>
        <w:rPr>
          <w:rFonts w:ascii="Arial" w:cs="Arial" w:eastAsia="Arial" w:hAnsi="Arial"/>
          <w:b/>
          <w:bCs/>
          <w:sz w:val="22"/>
          <w:szCs w:val="22"/>
        </w:rPr>
        <w:t xml:space="preserve">URL: </w:t>
      </w:r>
      <w:r>
        <w:rPr>
          <w:rFonts w:ascii="Arial" w:cs="Arial" w:eastAsia="Arial" w:hAnsi="Arial"/>
          <w:sz w:val="22"/>
          <w:szCs w:val="22"/>
        </w:rPr>
        <w:t xml:space="preserve">https://entrylab.io/broker/tradu</w:t>
      </w:r>
    </w:p>
    <w:p>
      <w:pPr>
        <w:spacing w:after="120"/>
      </w:pPr>
      <w:r>
        <w:rPr>
          <w:rFonts w:ascii="Arial" w:cs="Arial" w:eastAsia="Arial" w:hAnsi="Arial"/>
          <w:b/>
          <w:bCs/>
          <w:sz w:val="22"/>
          <w:szCs w:val="22"/>
        </w:rPr>
        <w:t xml:space="preserve">Content Type: </w:t>
      </w:r>
      <w:r>
        <w:rPr>
          <w:rFonts w:ascii="Arial" w:cs="Arial" w:eastAsia="Arial" w:hAnsi="Arial"/>
          <w:sz w:val="22"/>
          <w:szCs w:val="22"/>
        </w:rPr>
        <w:t xml:space="preserve">Broker Review</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Body Renders</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SSR Duplication</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Truncated</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Spec Fields</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Pros/Cons</w:t>
            </w:r>
          </w:p>
        </w:tc>
      </w:tr>
      <w:tr>
        <w:tc>
          <w:tcPr>
            <w:tcW w:type="dxa" w:w="1872"/>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c>
          <w:tcPr>
            <w:tcW w:type="dxa" w:w="1872"/>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WARNING</w:t>
            </w:r>
          </w:p>
        </w:tc>
        <w:tc>
          <w:tcPr>
            <w:tcW w:type="dxa" w:w="1872"/>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WARNING</w:t>
            </w:r>
          </w:p>
        </w:tc>
        <w:tc>
          <w:tcPr>
            <w:tcW w:type="dxa" w:w="1872"/>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c>
          <w:tcPr>
            <w:tcW w:type="dxa" w:w="1872"/>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PARTIAL</w:t>
            </w:r>
          </w:p>
        </w:tc>
      </w:tr>
    </w:tbl>
    <w:p>
      <w:pPr>
        <w:pStyle w:val="Heading3"/>
        <w:spacing w:after="150" w:before="300"/>
      </w:pPr>
      <w:r>
        <w:rPr>
          <w:rFonts w:ascii="Arial" w:cs="Arial" w:eastAsia="Arial" w:hAnsi="Arial"/>
        </w:rPr>
        <w:t xml:space="preserve">Findings</w:t>
      </w:r>
    </w:p>
    <w:p>
      <w:pPr>
        <w:pStyle w:val="ListParagraph"/>
        <w:numPr>
          <w:ilvl w:val="0"/>
          <w:numId w:val="3"/>
        </w:numPr>
        <w:spacing w:after="60"/>
      </w:pPr>
      <w:r>
        <w:rPr>
          <w:rFonts w:ascii="Arial" w:cs="Arial" w:eastAsia="Arial" w:hAnsi="Arial"/>
          <w:sz w:val="22"/>
          <w:szCs w:val="22"/>
        </w:rPr>
        <w:t xml:space="preserve">Full review body renders with all major sections: Executive Summary, Key Takeaways, Regulation, Account Types &amp; Fees, Platforms &amp; Tools, Research &amp; Education, Funding &amp; Withdrawals.</w:t>
      </w:r>
    </w:p>
    <w:p>
      <w:pPr>
        <w:pStyle w:val="ListParagraph"/>
        <w:numPr>
          <w:ilvl w:val="0"/>
          <w:numId w:val="3"/>
        </w:numPr>
        <w:spacing w:after="60"/>
      </w:pPr>
      <w:r>
        <w:rPr>
          <w:rFonts w:ascii="Arial" w:cs="Arial" w:eastAsia="Arial" w:hAnsi="Arial"/>
          <w:sz w:val="22"/>
          <w:szCs w:val="22"/>
        </w:rPr>
        <w:t xml:space="preserve">All spec sidebar fields populated correctly. Rating 4.50.</w:t>
      </w:r>
    </w:p>
    <w:p>
      <w:pPr>
        <w:pStyle w:val="ListParagraph"/>
        <w:numPr>
          <w:ilvl w:val="0"/>
          <w:numId w:val="3"/>
        </w:numPr>
        <w:spacing w:after="60"/>
      </w:pPr>
      <w:r>
        <w:rPr>
          <w:rFonts w:ascii="Arial" w:cs="Arial" w:eastAsia="Arial" w:hAnsi="Arial"/>
          <w:sz w:val="22"/>
          <w:szCs w:val="22"/>
        </w:rPr>
        <w:t xml:space="preserve">Pros/Cons have a rendering bug — the markdown bold syntax (**text**) is being escaped and shown literally as \*\*text\*\* instead of rendering as bold. Every pro and con item shows the raw escaped asterisks.</w:t>
      </w:r>
    </w:p>
    <w:p>
      <w:pPr>
        <w:pStyle w:val="ListParagraph"/>
        <w:numPr>
          <w:ilvl w:val="0"/>
          <w:numId w:val="3"/>
        </w:numPr>
        <w:spacing w:after="60"/>
      </w:pPr>
      <w:r>
        <w:rPr>
          <w:rFonts w:ascii="Arial" w:cs="Arial" w:eastAsia="Arial" w:hAnsi="Arial"/>
          <w:sz w:val="22"/>
          <w:szCs w:val="22"/>
        </w:rPr>
        <w:t xml:space="preserve">Review body truncates — cuts off mid-sentence in the second rendering of the Key Takeaways section during the SSR duplicate.</w:t>
      </w:r>
    </w:p>
    <w:p>
      <w:pPr>
        <w:pStyle w:val="ListParagraph"/>
        <w:numPr>
          <w:ilvl w:val="0"/>
          <w:numId w:val="3"/>
        </w:numPr>
        <w:spacing w:after="60"/>
      </w:pPr>
      <w:r>
        <w:rPr>
          <w:rFonts w:ascii="Arial" w:cs="Arial" w:eastAsia="Arial" w:hAnsi="Arial"/>
          <w:sz w:val="22"/>
          <w:szCs w:val="22"/>
        </w:rPr>
        <w:t xml:space="preserve">The Pros &amp; Cons section heading appears at the very end but the actual content is missing — the review cuts off with just "## Pros &amp;" visible.</w:t>
      </w:r>
    </w:p>
    <w:p>
      <w:pPr>
        <w:pStyle w:val="Heading3"/>
        <w:spacing w:after="150" w:before="300"/>
      </w:pPr>
      <w:r>
        <w:rPr>
          <w:rFonts w:ascii="Arial" w:cs="Arial" w:eastAsia="Arial" w:hAnsi="Arial"/>
        </w:rPr>
        <w:t xml:space="preserve">Required Fixes</w:t>
      </w:r>
    </w:p>
    <w:p>
      <w:pPr>
        <w:pStyle w:val="ListParagraph"/>
        <w:numPr>
          <w:ilvl w:val="0"/>
          <w:numId w:val="4"/>
        </w:numPr>
        <w:spacing w:after="60"/>
      </w:pPr>
      <w:r>
        <w:rPr>
          <w:rFonts w:ascii="Arial" w:cs="Arial" w:eastAsia="Arial" w:hAnsi="Arial"/>
          <w:sz w:val="22"/>
          <w:szCs w:val="22"/>
        </w:rPr>
        <w:t xml:space="preserve">FIX (Critical): SSR content duplication.</w:t>
      </w:r>
    </w:p>
    <w:p>
      <w:pPr>
        <w:pStyle w:val="ListParagraph"/>
        <w:numPr>
          <w:ilvl w:val="0"/>
          <w:numId w:val="4"/>
        </w:numPr>
        <w:spacing w:after="60"/>
      </w:pPr>
      <w:r>
        <w:rPr>
          <w:rFonts w:ascii="Arial" w:cs="Arial" w:eastAsia="Arial" w:hAnsi="Arial"/>
          <w:sz w:val="22"/>
          <w:szCs w:val="22"/>
        </w:rPr>
        <w:t xml:space="preserve">FIX (Critical): Escaped markdown in Pros/Cons — the \*\* bold syntax is being HTML-escaped instead of rendered. Either strip markdown before rendering, or process it through a markdown parser. This is visible to users.</w:t>
      </w:r>
    </w:p>
    <w:p>
      <w:pPr>
        <w:pStyle w:val="ListParagraph"/>
        <w:numPr>
          <w:ilvl w:val="0"/>
          <w:numId w:val="4"/>
        </w:numPr>
        <w:spacing w:after="60"/>
      </w:pPr>
      <w:r>
        <w:rPr>
          <w:rFonts w:ascii="Arial" w:cs="Arial" w:eastAsia="Arial" w:hAnsi="Arial"/>
          <w:sz w:val="22"/>
          <w:szCs w:val="22"/>
        </w:rPr>
        <w:t xml:space="preserve">FIX (High): Review body truncation — same column length / buffer issue as Moneta Markets.</w:t>
      </w:r>
    </w:p>
    <w:p>
      <w:pPr>
        <w:pStyle w:val="ListParagraph"/>
        <w:numPr>
          <w:ilvl w:val="0"/>
          <w:numId w:val="4"/>
        </w:numPr>
        <w:spacing w:after="60"/>
      </w:pPr>
      <w:r>
        <w:rPr>
          <w:rFonts w:ascii="Arial" w:cs="Arial" w:eastAsia="Arial" w:hAnsi="Arial"/>
          <w:sz w:val="22"/>
          <w:szCs w:val="22"/>
        </w:rPr>
        <w:t xml:space="preserve">FIX (Medium): Final Pros &amp; Cons section incomplete — if this is a separate section from the sidebar pros/cons, it needs the full content.</w:t>
      </w:r>
    </w:p>
    <w:p>
      <w:r>
        <w:br w:type="page"/>
      </w:r>
    </w:p>
    <w:p>
      <w:pPr>
        <w:pStyle w:val="Heading2"/>
        <w:spacing w:after="150" w:before="300"/>
      </w:pPr>
      <w:r>
        <w:rPr>
          <w:rFonts w:ascii="Arial" w:cs="Arial" w:eastAsia="Arial" w:hAnsi="Arial"/>
        </w:rPr>
        <w:t xml:space="preserve">4. AvaTrade — /broker/avatrade</w:t>
      </w:r>
    </w:p>
    <w:p>
      <w:pPr>
        <w:spacing w:after="120"/>
      </w:pPr>
      <w:r>
        <w:rPr>
          <w:rFonts w:ascii="Arial" w:cs="Arial" w:eastAsia="Arial" w:hAnsi="Arial"/>
          <w:b/>
          <w:bCs/>
          <w:sz w:val="22"/>
          <w:szCs w:val="22"/>
        </w:rPr>
        <w:t xml:space="preserve">URL: </w:t>
      </w:r>
      <w:r>
        <w:rPr>
          <w:rFonts w:ascii="Arial" w:cs="Arial" w:eastAsia="Arial" w:hAnsi="Arial"/>
          <w:sz w:val="22"/>
          <w:szCs w:val="22"/>
        </w:rPr>
        <w:t xml:space="preserve">https://entrylab.io/broker/avatrade</w:t>
      </w:r>
    </w:p>
    <w:p>
      <w:pPr>
        <w:spacing w:after="120"/>
      </w:pPr>
      <w:r>
        <w:rPr>
          <w:rFonts w:ascii="Arial" w:cs="Arial" w:eastAsia="Arial" w:hAnsi="Arial"/>
          <w:b/>
          <w:bCs/>
          <w:sz w:val="22"/>
          <w:szCs w:val="22"/>
        </w:rPr>
        <w:t xml:space="preserve">Content Type: </w:t>
      </w:r>
      <w:r>
        <w:rPr>
          <w:rFonts w:ascii="Arial" w:cs="Arial" w:eastAsia="Arial" w:hAnsi="Arial"/>
          <w:sz w:val="22"/>
          <w:szCs w:val="22"/>
        </w:rPr>
        <w:t xml:space="preserve">Broker Review</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Body Renders</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SSR Duplication</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Truncated</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Spec Fields</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Pros/Cons</w:t>
            </w:r>
          </w:p>
        </w:tc>
      </w:tr>
      <w:tr>
        <w:tc>
          <w:tcPr>
            <w:tcW w:type="dxa" w:w="1872"/>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c>
          <w:tcPr>
            <w:tcW w:type="dxa" w:w="1872"/>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WARNING</w:t>
            </w:r>
          </w:p>
        </w:tc>
        <w:tc>
          <w:tcPr>
            <w:tcW w:type="dxa" w:w="1872"/>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c>
          <w:tcPr>
            <w:tcW w:type="dxa" w:w="1872"/>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c>
          <w:tcPr>
            <w:tcW w:type="dxa" w:w="1872"/>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r>
    </w:tbl>
    <w:p>
      <w:pPr>
        <w:pStyle w:val="Heading3"/>
        <w:spacing w:after="150" w:before="300"/>
      </w:pPr>
      <w:r>
        <w:rPr>
          <w:rFonts w:ascii="Arial" w:cs="Arial" w:eastAsia="Arial" w:hAnsi="Arial"/>
        </w:rPr>
        <w:t xml:space="preserve">Findings</w:t>
      </w:r>
    </w:p>
    <w:p>
      <w:pPr>
        <w:pStyle w:val="ListParagraph"/>
        <w:numPr>
          <w:ilvl w:val="0"/>
          <w:numId w:val="3"/>
        </w:numPr>
        <w:spacing w:after="60"/>
      </w:pPr>
      <w:r>
        <w:rPr>
          <w:rFonts w:ascii="Arial" w:cs="Arial" w:eastAsia="Arial" w:hAnsi="Arial"/>
          <w:sz w:val="22"/>
          <w:szCs w:val="22"/>
        </w:rPr>
        <w:t xml:space="preserve">Full review body renders completely: Regulation and Safety, Account Types and Pricing, Platforms and Tools, Instruments, Funding and Withdrawals, Education and Research, Pros and Cons, Verdict.</w:t>
      </w:r>
    </w:p>
    <w:p>
      <w:pPr>
        <w:pStyle w:val="ListParagraph"/>
        <w:numPr>
          <w:ilvl w:val="0"/>
          <w:numId w:val="3"/>
        </w:numPr>
        <w:spacing w:after="60"/>
      </w:pPr>
      <w:r>
        <w:rPr>
          <w:rFonts w:ascii="Arial" w:cs="Arial" w:eastAsia="Arial" w:hAnsi="Arial"/>
          <w:sz w:val="22"/>
          <w:szCs w:val="22"/>
        </w:rPr>
        <w:t xml:space="preserve">All spec sidebar fields populated: Rating (4.40), full regulation string with licence numbers, all platforms listed, Dublin HQ address included.</w:t>
      </w:r>
    </w:p>
    <w:p>
      <w:pPr>
        <w:pStyle w:val="ListParagraph"/>
        <w:numPr>
          <w:ilvl w:val="0"/>
          <w:numId w:val="3"/>
        </w:numPr>
        <w:spacing w:after="60"/>
      </w:pPr>
      <w:r>
        <w:rPr>
          <w:rFonts w:ascii="Arial" w:cs="Arial" w:eastAsia="Arial" w:hAnsi="Arial"/>
          <w:sz w:val="22"/>
          <w:szCs w:val="22"/>
        </w:rPr>
        <w:t xml:space="preserve">Pros/Cons render cleanly as simple comma-separated items — no escaped markdown or broken formatting.</w:t>
      </w:r>
    </w:p>
    <w:p>
      <w:pPr>
        <w:pStyle w:val="ListParagraph"/>
        <w:numPr>
          <w:ilvl w:val="0"/>
          <w:numId w:val="3"/>
        </w:numPr>
        <w:spacing w:after="60"/>
      </w:pPr>
      <w:r>
        <w:rPr>
          <w:rFonts w:ascii="Arial" w:cs="Arial" w:eastAsia="Arial" w:hAnsi="Arial"/>
          <w:sz w:val="22"/>
          <w:szCs w:val="22"/>
        </w:rPr>
        <w:t xml:space="preserve">This is the cleanest broker review tested. Content is complete, well-structured, and doesn't appear truncated.</w:t>
      </w:r>
    </w:p>
    <w:p>
      <w:pPr>
        <w:pStyle w:val="ListParagraph"/>
        <w:numPr>
          <w:ilvl w:val="0"/>
          <w:numId w:val="3"/>
        </w:numPr>
        <w:spacing w:after="60"/>
      </w:pPr>
      <w:r>
        <w:rPr>
          <w:rFonts w:ascii="Arial" w:cs="Arial" w:eastAsia="Arial" w:hAnsi="Arial"/>
          <w:sz w:val="22"/>
          <w:szCs w:val="22"/>
        </w:rPr>
        <w:t xml:space="preserve">Review uses ### (H3) headings rather than ## (H2) like other reviews — minor inconsistency in heading hierarchy.</w:t>
      </w:r>
    </w:p>
    <w:p>
      <w:pPr>
        <w:pStyle w:val="Heading3"/>
        <w:spacing w:after="150" w:before="300"/>
      </w:pPr>
      <w:r>
        <w:rPr>
          <w:rFonts w:ascii="Arial" w:cs="Arial" w:eastAsia="Arial" w:hAnsi="Arial"/>
        </w:rPr>
        <w:t xml:space="preserve">Required Fixes</w:t>
      </w:r>
    </w:p>
    <w:p>
      <w:pPr>
        <w:pStyle w:val="ListParagraph"/>
        <w:numPr>
          <w:ilvl w:val="0"/>
          <w:numId w:val="4"/>
        </w:numPr>
        <w:spacing w:after="60"/>
      </w:pPr>
      <w:r>
        <w:rPr>
          <w:rFonts w:ascii="Arial" w:cs="Arial" w:eastAsia="Arial" w:hAnsi="Arial"/>
          <w:sz w:val="22"/>
          <w:szCs w:val="22"/>
        </w:rPr>
        <w:t xml:space="preserve">FIX (Critical): SSR content duplication — still present, entire review appears twice.</w:t>
      </w:r>
    </w:p>
    <w:p>
      <w:pPr>
        <w:pStyle w:val="ListParagraph"/>
        <w:numPr>
          <w:ilvl w:val="0"/>
          <w:numId w:val="4"/>
        </w:numPr>
        <w:spacing w:after="60"/>
      </w:pPr>
      <w:r>
        <w:rPr>
          <w:rFonts w:ascii="Arial" w:cs="Arial" w:eastAsia="Arial" w:hAnsi="Arial"/>
          <w:sz w:val="22"/>
          <w:szCs w:val="22"/>
        </w:rPr>
        <w:t xml:space="preserve">FIX (Low): Heading level inconsistency — AvaTrade uses H3 (###) for section headers while other reviews use H2 (##). Standardise across all reviews for consistent styling and TOC generation.</w:t>
      </w:r>
    </w:p>
    <w:p>
      <w:r>
        <w:br w:type="page"/>
      </w:r>
    </w:p>
    <w:p>
      <w:pPr>
        <w:pStyle w:val="Heading2"/>
        <w:spacing w:after="150" w:before="300"/>
      </w:pPr>
      <w:r>
        <w:rPr>
          <w:rFonts w:ascii="Arial" w:cs="Arial" w:eastAsia="Arial" w:hAnsi="Arial"/>
        </w:rPr>
        <w:t xml:space="preserve">5. LiquidBrokers — /broker/liquidbrokers-review</w:t>
      </w:r>
    </w:p>
    <w:p>
      <w:pPr>
        <w:spacing w:after="120"/>
      </w:pPr>
      <w:r>
        <w:rPr>
          <w:rFonts w:ascii="Arial" w:cs="Arial" w:eastAsia="Arial" w:hAnsi="Arial"/>
          <w:b/>
          <w:bCs/>
          <w:sz w:val="22"/>
          <w:szCs w:val="22"/>
        </w:rPr>
        <w:t xml:space="preserve">URL: </w:t>
      </w:r>
      <w:r>
        <w:rPr>
          <w:rFonts w:ascii="Arial" w:cs="Arial" w:eastAsia="Arial" w:hAnsi="Arial"/>
          <w:sz w:val="22"/>
          <w:szCs w:val="22"/>
        </w:rPr>
        <w:t xml:space="preserve">https://entrylab.io/broker/liquidbrokers-review</w:t>
      </w:r>
    </w:p>
    <w:p>
      <w:pPr>
        <w:spacing w:after="120"/>
      </w:pPr>
      <w:r>
        <w:rPr>
          <w:rFonts w:ascii="Arial" w:cs="Arial" w:eastAsia="Arial" w:hAnsi="Arial"/>
          <w:b/>
          <w:bCs/>
          <w:sz w:val="22"/>
          <w:szCs w:val="22"/>
        </w:rPr>
        <w:t xml:space="preserve">Content Type: </w:t>
      </w:r>
      <w:r>
        <w:rPr>
          <w:rFonts w:ascii="Arial" w:cs="Arial" w:eastAsia="Arial" w:hAnsi="Arial"/>
          <w:sz w:val="22"/>
          <w:szCs w:val="22"/>
        </w:rPr>
        <w:t xml:space="preserve">Broker Review</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Body Renders</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SSR Duplication</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Truncated</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Spec Fields</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Pros/Cons</w:t>
            </w:r>
          </w:p>
        </w:tc>
      </w:tr>
      <w:tr>
        <w:tc>
          <w:tcPr>
            <w:tcW w:type="dxa" w:w="1872"/>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c>
          <w:tcPr>
            <w:tcW w:type="dxa" w:w="1872"/>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WARNING</w:t>
            </w:r>
          </w:p>
        </w:tc>
        <w:tc>
          <w:tcPr>
            <w:tcW w:type="dxa" w:w="1872"/>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c>
          <w:tcPr>
            <w:tcW w:type="dxa" w:w="1872"/>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c>
          <w:tcPr>
            <w:tcW w:type="dxa" w:w="1872"/>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r>
    </w:tbl>
    <w:p>
      <w:pPr>
        <w:pStyle w:val="Heading3"/>
        <w:spacing w:after="150" w:before="300"/>
      </w:pPr>
      <w:r>
        <w:rPr>
          <w:rFonts w:ascii="Arial" w:cs="Arial" w:eastAsia="Arial" w:hAnsi="Arial"/>
        </w:rPr>
        <w:t xml:space="preserve">Findings</w:t>
      </w:r>
    </w:p>
    <w:p>
      <w:pPr>
        <w:pStyle w:val="ListParagraph"/>
        <w:numPr>
          <w:ilvl w:val="0"/>
          <w:numId w:val="3"/>
        </w:numPr>
        <w:spacing w:after="60"/>
      </w:pPr>
      <w:r>
        <w:rPr>
          <w:rFonts w:ascii="Arial" w:cs="Arial" w:eastAsia="Arial" w:hAnsi="Arial"/>
          <w:sz w:val="22"/>
          <w:szCs w:val="22"/>
        </w:rPr>
        <w:t xml:space="preserve">Full review body renders: Trading Experience, Deposits and Withdrawals, Market Position, Final Thoughts.</w:t>
      </w:r>
    </w:p>
    <w:p>
      <w:pPr>
        <w:pStyle w:val="ListParagraph"/>
        <w:numPr>
          <w:ilvl w:val="0"/>
          <w:numId w:val="3"/>
        </w:numPr>
        <w:spacing w:after="60"/>
      </w:pPr>
      <w:r>
        <w:rPr>
          <w:rFonts w:ascii="Arial" w:cs="Arial" w:eastAsia="Arial" w:hAnsi="Arial"/>
          <w:sz w:val="22"/>
          <w:szCs w:val="22"/>
        </w:rPr>
        <w:t xml:space="preserve">All spec sidebar fields populated: Rating (4.30), Regulation, Min Deposit ($10), Max Leverage, Spreads, Platform 5, Deposit Methods, HQ address.</w:t>
      </w:r>
    </w:p>
    <w:p>
      <w:pPr>
        <w:pStyle w:val="ListParagraph"/>
        <w:numPr>
          <w:ilvl w:val="0"/>
          <w:numId w:val="3"/>
        </w:numPr>
        <w:spacing w:after="60"/>
      </w:pPr>
      <w:r>
        <w:rPr>
          <w:rFonts w:ascii="Arial" w:cs="Arial" w:eastAsia="Arial" w:hAnsi="Arial"/>
          <w:sz w:val="22"/>
          <w:szCs w:val="22"/>
        </w:rPr>
        <w:t xml:space="preserve">Pros/Cons render correctly.</w:t>
      </w:r>
    </w:p>
    <w:p>
      <w:pPr>
        <w:pStyle w:val="ListParagraph"/>
        <w:numPr>
          <w:ilvl w:val="0"/>
          <w:numId w:val="3"/>
        </w:numPr>
        <w:spacing w:after="60"/>
      </w:pPr>
      <w:r>
        <w:rPr>
          <w:rFonts w:ascii="Arial" w:cs="Arial" w:eastAsia="Arial" w:hAnsi="Arial"/>
          <w:sz w:val="22"/>
          <w:szCs w:val="22"/>
        </w:rPr>
        <w:t xml:space="preserve">Review is significantly shorter and less detailed than the other broker reviews (Eightcap, TMGM, Tradu, AvaTrade). No regulation table, no account types breakdown, no platform comparison, no funding table.</w:t>
      </w:r>
    </w:p>
    <w:p>
      <w:pPr>
        <w:pStyle w:val="ListParagraph"/>
        <w:numPr>
          <w:ilvl w:val="0"/>
          <w:numId w:val="3"/>
        </w:numPr>
        <w:spacing w:after="60"/>
      </w:pPr>
      <w:r>
        <w:rPr>
          <w:rFonts w:ascii="Arial" w:cs="Arial" w:eastAsia="Arial" w:hAnsi="Arial"/>
          <w:sz w:val="22"/>
          <w:szCs w:val="22"/>
        </w:rPr>
        <w:t xml:space="preserve">Contains internal cross-links to other EntryLab articles (SageFX closure, 24K Markets) — good for SEO.</w:t>
      </w:r>
    </w:p>
    <w:p>
      <w:pPr>
        <w:pStyle w:val="ListParagraph"/>
        <w:numPr>
          <w:ilvl w:val="0"/>
          <w:numId w:val="3"/>
        </w:numPr>
        <w:spacing w:after="60"/>
      </w:pPr>
      <w:r>
        <w:rPr>
          <w:rFonts w:ascii="Arial" w:cs="Arial" w:eastAsia="Arial" w:hAnsi="Arial"/>
          <w:sz w:val="22"/>
          <w:szCs w:val="22"/>
        </w:rPr>
        <w:t xml:space="preserve">Review structure follows a different template — more editorial/narrative rather than the structured spec-by-spec format used by the other reviews.</w:t>
      </w:r>
    </w:p>
    <w:p>
      <w:pPr>
        <w:pStyle w:val="Heading3"/>
        <w:spacing w:after="150" w:before="300"/>
      </w:pPr>
      <w:r>
        <w:rPr>
          <w:rFonts w:ascii="Arial" w:cs="Arial" w:eastAsia="Arial" w:hAnsi="Arial"/>
        </w:rPr>
        <w:t xml:space="preserve">Required Fixes</w:t>
      </w:r>
    </w:p>
    <w:p>
      <w:pPr>
        <w:pStyle w:val="ListParagraph"/>
        <w:numPr>
          <w:ilvl w:val="0"/>
          <w:numId w:val="4"/>
        </w:numPr>
        <w:spacing w:after="60"/>
      </w:pPr>
      <w:r>
        <w:rPr>
          <w:rFonts w:ascii="Arial" w:cs="Arial" w:eastAsia="Arial" w:hAnsi="Arial"/>
          <w:sz w:val="22"/>
          <w:szCs w:val="22"/>
        </w:rPr>
        <w:t xml:space="preserve">FIX (Critical): SSR content duplication.</w:t>
      </w:r>
    </w:p>
    <w:p>
      <w:pPr>
        <w:pStyle w:val="ListParagraph"/>
        <w:numPr>
          <w:ilvl w:val="0"/>
          <w:numId w:val="4"/>
        </w:numPr>
        <w:spacing w:after="60"/>
      </w:pPr>
      <w:r>
        <w:rPr>
          <w:rFonts w:ascii="Arial" w:cs="Arial" w:eastAsia="Arial" w:hAnsi="Arial"/>
          <w:sz w:val="22"/>
          <w:szCs w:val="22"/>
        </w:rPr>
        <w:t xml:space="preserve">FIX (High): Content depth — this review is much thinner than peers. Consider expanding with structured sections (Regulation table, Account Types, Platform comparison, Funding table) to match the template used by Eightcap/TMGM/Tradu/AvaTrade.</w:t>
      </w:r>
    </w:p>
    <w:p>
      <w:pPr>
        <w:pStyle w:val="ListParagraph"/>
        <w:numPr>
          <w:ilvl w:val="0"/>
          <w:numId w:val="4"/>
        </w:numPr>
        <w:spacing w:after="60"/>
      </w:pPr>
      <w:r>
        <w:rPr>
          <w:rFonts w:ascii="Arial" w:cs="Arial" w:eastAsia="Arial" w:hAnsi="Arial"/>
          <w:sz w:val="22"/>
          <w:szCs w:val="22"/>
        </w:rPr>
        <w:t xml:space="preserve">FIX (Medium): Slug inconsistency — uses /broker/liquidbrokers-review (includes '-review') while others use just the broker name (e.g. /broker/avatrade, /broker/tmgm). Standardise slug convention.</w:t>
      </w:r>
    </w:p>
    <w:p>
      <w:r>
        <w:br w:type="page"/>
      </w:r>
    </w:p>
    <w:p>
      <w:pPr>
        <w:pStyle w:val="Heading2"/>
        <w:spacing w:after="150" w:before="300"/>
      </w:pPr>
      <w:r>
        <w:rPr>
          <w:rFonts w:ascii="Arial" w:cs="Arial" w:eastAsia="Arial" w:hAnsi="Arial"/>
        </w:rPr>
        <w:t xml:space="preserve">6. GatesFX — /broker/gatesfx-review</w:t>
      </w:r>
    </w:p>
    <w:p>
      <w:pPr>
        <w:spacing w:after="120"/>
      </w:pPr>
      <w:r>
        <w:rPr>
          <w:rFonts w:ascii="Arial" w:cs="Arial" w:eastAsia="Arial" w:hAnsi="Arial"/>
          <w:b/>
          <w:bCs/>
          <w:sz w:val="22"/>
          <w:szCs w:val="22"/>
        </w:rPr>
        <w:t xml:space="preserve">URL: </w:t>
      </w:r>
      <w:r>
        <w:rPr>
          <w:rFonts w:ascii="Arial" w:cs="Arial" w:eastAsia="Arial" w:hAnsi="Arial"/>
          <w:sz w:val="22"/>
          <w:szCs w:val="22"/>
        </w:rPr>
        <w:t xml:space="preserve">https://entrylab.io/broker/gatesfx-review</w:t>
      </w:r>
    </w:p>
    <w:p>
      <w:pPr>
        <w:spacing w:after="120"/>
      </w:pPr>
      <w:r>
        <w:rPr>
          <w:rFonts w:ascii="Arial" w:cs="Arial" w:eastAsia="Arial" w:hAnsi="Arial"/>
          <w:b/>
          <w:bCs/>
          <w:sz w:val="22"/>
          <w:szCs w:val="22"/>
        </w:rPr>
        <w:t xml:space="preserve">Content Type: </w:t>
      </w:r>
      <w:r>
        <w:rPr>
          <w:rFonts w:ascii="Arial" w:cs="Arial" w:eastAsia="Arial" w:hAnsi="Arial"/>
          <w:sz w:val="22"/>
          <w:szCs w:val="22"/>
        </w:rPr>
        <w:t xml:space="preserve">Broker Review</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Body Renders</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SSR Duplication</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Truncated</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Spec Fields</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Pros/Cons</w:t>
            </w:r>
          </w:p>
        </w:tc>
      </w:tr>
      <w:tr>
        <w:tc>
          <w:tcPr>
            <w:tcW w:type="dxa" w:w="1872"/>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FAIL</w:t>
            </w:r>
          </w:p>
        </w:tc>
        <w:tc>
          <w:tcPr>
            <w:tcW w:type="dxa" w:w="1872"/>
            <w:tcBorders>
              <w:top w:val="single" w:color="CCCCCC" w:sz="1"/>
              <w:left w:val="single" w:color="CCCCCC" w:sz="1"/>
              <w:bottom w:val="single" w:color="CCCCCC" w:sz="1"/>
              <w:right w:val="single" w:color="CCCCCC" w:sz="1"/>
            </w:tcBorders>
            <w:shd w:fill="CCCCC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w:t>
            </w:r>
          </w:p>
        </w:tc>
        <w:tc>
          <w:tcPr>
            <w:tcW w:type="dxa" w:w="1872"/>
            <w:tcBorders>
              <w:top w:val="single" w:color="CCCCCC" w:sz="1"/>
              <w:left w:val="single" w:color="CCCCCC" w:sz="1"/>
              <w:bottom w:val="single" w:color="CCCCCC" w:sz="1"/>
              <w:right w:val="single" w:color="CCCCCC" w:sz="1"/>
            </w:tcBorders>
            <w:shd w:fill="CCCCC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w:t>
            </w:r>
          </w:p>
        </w:tc>
        <w:tc>
          <w:tcPr>
            <w:tcW w:type="dxa" w:w="1872"/>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FAIL</w:t>
            </w:r>
          </w:p>
        </w:tc>
        <w:tc>
          <w:tcPr>
            <w:tcW w:type="dxa" w:w="1872"/>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FAIL</w:t>
            </w:r>
          </w:p>
        </w:tc>
      </w:tr>
    </w:tbl>
    <w:p>
      <w:pPr>
        <w:pStyle w:val="Heading3"/>
        <w:spacing w:after="150" w:before="300"/>
      </w:pPr>
      <w:r>
        <w:rPr>
          <w:rFonts w:ascii="Arial" w:cs="Arial" w:eastAsia="Arial" w:hAnsi="Arial"/>
        </w:rPr>
        <w:t xml:space="preserve">Findings</w:t>
      </w:r>
    </w:p>
    <w:p>
      <w:pPr>
        <w:pStyle w:val="ListParagraph"/>
        <w:numPr>
          <w:ilvl w:val="0"/>
          <w:numId w:val="3"/>
        </w:numPr>
        <w:spacing w:after="60"/>
      </w:pPr>
      <w:r>
        <w:rPr>
          <w:rFonts w:ascii="Arial" w:cs="Arial" w:eastAsia="Arial" w:hAnsi="Arial"/>
          <w:sz w:val="22"/>
          <w:szCs w:val="22"/>
        </w:rPr>
        <w:t xml:space="preserve">PAGE RETURNS TITLE ONLY — "GatesFX | EntryLab". No spec sidebar, no review body, no pros/cons. Nothing renders to crawlers.</w:t>
      </w:r>
    </w:p>
    <w:p>
      <w:pPr>
        <w:pStyle w:val="ListParagraph"/>
        <w:numPr>
          <w:ilvl w:val="0"/>
          <w:numId w:val="3"/>
        </w:numPr>
        <w:spacing w:after="60"/>
      </w:pPr>
      <w:r>
        <w:rPr>
          <w:rFonts w:ascii="Arial" w:cs="Arial" w:eastAsia="Arial" w:hAnsi="Arial"/>
          <w:sz w:val="22"/>
          <w:szCs w:val="22"/>
        </w:rPr>
        <w:t xml:space="preserve">The page loads in a browser (React hydrates), but the SSR injection is not providing any content for this page.</w:t>
      </w:r>
    </w:p>
    <w:p>
      <w:pPr>
        <w:pStyle w:val="ListParagraph"/>
        <w:numPr>
          <w:ilvl w:val="0"/>
          <w:numId w:val="3"/>
        </w:numPr>
        <w:spacing w:after="60"/>
      </w:pPr>
      <w:r>
        <w:rPr>
          <w:rFonts w:ascii="Arial" w:cs="Arial" w:eastAsia="Arial" w:hAnsi="Arial"/>
          <w:sz w:val="22"/>
          <w:szCs w:val="22"/>
        </w:rPr>
        <w:t xml:space="preserve">This is one of your most linked-to reviews (referenced from the OspreyFX article, KOT4X article, broker guides, and comparison pages). Having it invisible to crawlers is a significant SEO problem.</w:t>
      </w:r>
    </w:p>
    <w:p>
      <w:pPr>
        <w:pStyle w:val="ListParagraph"/>
        <w:numPr>
          <w:ilvl w:val="0"/>
          <w:numId w:val="3"/>
        </w:numPr>
        <w:spacing w:after="60"/>
      </w:pPr>
      <w:r>
        <w:rPr>
          <w:rFonts w:ascii="Arial" w:cs="Arial" w:eastAsia="Arial" w:hAnsi="Arial"/>
          <w:sz w:val="22"/>
          <w:szCs w:val="22"/>
        </w:rPr>
        <w:t xml:space="preserve">SEO title is also weaker — just "GatesFX | EntryLab" vs the format used by others like "Eightcap Review 2026: Spreads &amp; Regulation | EntryLab".</w:t>
      </w:r>
    </w:p>
    <w:p>
      <w:pPr>
        <w:pStyle w:val="Heading3"/>
        <w:spacing w:after="150" w:before="300"/>
      </w:pPr>
      <w:r>
        <w:rPr>
          <w:rFonts w:ascii="Arial" w:cs="Arial" w:eastAsia="Arial" w:hAnsi="Arial"/>
        </w:rPr>
        <w:t xml:space="preserve">Required Fixes</w:t>
      </w:r>
    </w:p>
    <w:p>
      <w:pPr>
        <w:pStyle w:val="ListParagraph"/>
        <w:numPr>
          <w:ilvl w:val="0"/>
          <w:numId w:val="4"/>
        </w:numPr>
        <w:spacing w:after="60"/>
      </w:pPr>
      <w:r>
        <w:rPr>
          <w:rFonts w:ascii="Arial" w:cs="Arial" w:eastAsia="Arial" w:hAnsi="Arial"/>
          <w:sz w:val="22"/>
          <w:szCs w:val="22"/>
        </w:rPr>
        <w:t xml:space="preserve">FIX (Critical): SSR injection completely missing — no content is being injected for this page. Debug why this specific broker review doesn't get SSR treatment while others do. Possible causes: the slug contains '-review' which may not match the SSR route pattern, or the DB record may have an issue.</w:t>
      </w:r>
    </w:p>
    <w:p>
      <w:pPr>
        <w:pStyle w:val="ListParagraph"/>
        <w:numPr>
          <w:ilvl w:val="0"/>
          <w:numId w:val="4"/>
        </w:numPr>
        <w:spacing w:after="60"/>
      </w:pPr>
      <w:r>
        <w:rPr>
          <w:rFonts w:ascii="Arial" w:cs="Arial" w:eastAsia="Arial" w:hAnsi="Arial"/>
          <w:sz w:val="22"/>
          <w:szCs w:val="22"/>
        </w:rPr>
        <w:t xml:space="preserve">FIX (Critical): SEO title — update to match the pattern: "GatesFX Review 2026: [Key Detail] | EntryLab".</w:t>
      </w:r>
    </w:p>
    <w:p>
      <w:pPr>
        <w:pStyle w:val="ListParagraph"/>
        <w:numPr>
          <w:ilvl w:val="0"/>
          <w:numId w:val="4"/>
        </w:numPr>
        <w:spacing w:after="60"/>
      </w:pPr>
      <w:r>
        <w:rPr>
          <w:rFonts w:ascii="Arial" w:cs="Arial" w:eastAsia="Arial" w:hAnsi="Arial"/>
          <w:sz w:val="22"/>
          <w:szCs w:val="22"/>
        </w:rPr>
        <w:t xml:space="preserve">FIX (High): This page is heavily cross-linked — fix it urgently as it's likely one of your highest-traffic review pages.</w:t>
      </w:r>
    </w:p>
    <w:p>
      <w:pPr>
        <w:pStyle w:val="ListParagraph"/>
        <w:numPr>
          <w:ilvl w:val="0"/>
          <w:numId w:val="4"/>
        </w:numPr>
        <w:spacing w:after="60"/>
      </w:pPr>
      <w:r>
        <w:rPr>
          <w:rFonts w:ascii="Arial" w:cs="Arial" w:eastAsia="Arial" w:hAnsi="Arial"/>
          <w:sz w:val="22"/>
          <w:szCs w:val="22"/>
        </w:rPr>
        <w:t xml:space="preserve">FIX (Medium): Slug uses '-review' suffix. Check if this is causing the SSR mismatch — compare with /broker/avatrade (no suffix, works) vs /broker/gatesfx-review (suffix, broken) and /broker/liquidbrokers-review (suffix, works).</w:t>
      </w:r>
    </w:p>
    <w:p>
      <w:r>
        <w:br w:type="page"/>
      </w:r>
    </w:p>
    <w:p>
      <w:pPr>
        <w:pStyle w:val="Heading2"/>
        <w:spacing w:after="150" w:before="300"/>
      </w:pPr>
      <w:r>
        <w:rPr>
          <w:rFonts w:ascii="Arial" w:cs="Arial" w:eastAsia="Arial" w:hAnsi="Arial"/>
        </w:rPr>
        <w:t xml:space="preserve">7. Smart Trader Funds — /prop-firm/smart-trader-funds</w:t>
      </w:r>
    </w:p>
    <w:p>
      <w:pPr>
        <w:spacing w:after="120"/>
      </w:pPr>
      <w:r>
        <w:rPr>
          <w:rFonts w:ascii="Arial" w:cs="Arial" w:eastAsia="Arial" w:hAnsi="Arial"/>
          <w:b/>
          <w:bCs/>
          <w:sz w:val="22"/>
          <w:szCs w:val="22"/>
        </w:rPr>
        <w:t xml:space="preserve">URL: </w:t>
      </w:r>
      <w:r>
        <w:rPr>
          <w:rFonts w:ascii="Arial" w:cs="Arial" w:eastAsia="Arial" w:hAnsi="Arial"/>
          <w:sz w:val="22"/>
          <w:szCs w:val="22"/>
        </w:rPr>
        <w:t xml:space="preserve">https://entrylab.io/prop-firm/smart-trader-funds</w:t>
      </w:r>
    </w:p>
    <w:p>
      <w:pPr>
        <w:spacing w:after="120"/>
      </w:pPr>
      <w:r>
        <w:rPr>
          <w:rFonts w:ascii="Arial" w:cs="Arial" w:eastAsia="Arial" w:hAnsi="Arial"/>
          <w:b/>
          <w:bCs/>
          <w:sz w:val="22"/>
          <w:szCs w:val="22"/>
        </w:rPr>
        <w:t xml:space="preserve">Content Type: </w:t>
      </w:r>
      <w:r>
        <w:rPr>
          <w:rFonts w:ascii="Arial" w:cs="Arial" w:eastAsia="Arial" w:hAnsi="Arial"/>
          <w:sz w:val="22"/>
          <w:szCs w:val="22"/>
        </w:rPr>
        <w:t xml:space="preserve">Prop Firm Review</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Body Renders</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SSR Duplication</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Truncated</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Spec Fields</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Pros/Cons</w:t>
            </w:r>
          </w:p>
        </w:tc>
      </w:tr>
      <w:tr>
        <w:tc>
          <w:tcPr>
            <w:tcW w:type="dxa" w:w="1872"/>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c>
          <w:tcPr>
            <w:tcW w:type="dxa" w:w="1872"/>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WARNING</w:t>
            </w:r>
          </w:p>
        </w:tc>
        <w:tc>
          <w:tcPr>
            <w:tcW w:type="dxa" w:w="1872"/>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WARNING</w:t>
            </w:r>
          </w:p>
        </w:tc>
        <w:tc>
          <w:tcPr>
            <w:tcW w:type="dxa" w:w="1872"/>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PARTIAL</w:t>
            </w:r>
          </w:p>
        </w:tc>
        <w:tc>
          <w:tcPr>
            <w:tcW w:type="dxa" w:w="1872"/>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r>
    </w:tbl>
    <w:p>
      <w:pPr>
        <w:pStyle w:val="Heading3"/>
        <w:spacing w:after="150" w:before="300"/>
      </w:pPr>
      <w:r>
        <w:rPr>
          <w:rFonts w:ascii="Arial" w:cs="Arial" w:eastAsia="Arial" w:hAnsi="Arial"/>
        </w:rPr>
        <w:t xml:space="preserve">Findings</w:t>
      </w:r>
    </w:p>
    <w:p>
      <w:pPr>
        <w:pStyle w:val="ListParagraph"/>
        <w:numPr>
          <w:ilvl w:val="0"/>
          <w:numId w:val="3"/>
        </w:numPr>
        <w:spacing w:after="60"/>
      </w:pPr>
      <w:r>
        <w:rPr>
          <w:rFonts w:ascii="Arial" w:cs="Arial" w:eastAsia="Arial" w:hAnsi="Arial"/>
          <w:sz w:val="22"/>
          <w:szCs w:val="22"/>
        </w:rPr>
        <w:t xml:space="preserve">Full review body renders: Legitimacy &amp; Reputation, Trading Programs &amp; Funding Models, Asset Classes &amp; Account Restrictions, Trading Rules &amp; Evaluation Criteria, Pricing Fees &amp; Discounts, Platform Compatibility.</w:t>
      </w:r>
    </w:p>
    <w:p>
      <w:pPr>
        <w:pStyle w:val="ListParagraph"/>
        <w:numPr>
          <w:ilvl w:val="0"/>
          <w:numId w:val="3"/>
        </w:numPr>
        <w:spacing w:after="60"/>
      </w:pPr>
      <w:r>
        <w:rPr>
          <w:rFonts w:ascii="Arial" w:cs="Arial" w:eastAsia="Arial" w:hAnsi="Arial"/>
          <w:sz w:val="22"/>
          <w:szCs w:val="22"/>
        </w:rPr>
        <w:t xml:space="preserve">This is a very detailed, well-researched prop firm review — significantly more comprehensive than the FunderPro review.</w:t>
      </w:r>
    </w:p>
    <w:p>
      <w:pPr>
        <w:pStyle w:val="ListParagraph"/>
        <w:numPr>
          <w:ilvl w:val="0"/>
          <w:numId w:val="3"/>
        </w:numPr>
        <w:spacing w:after="60"/>
      </w:pPr>
      <w:r>
        <w:rPr>
          <w:rFonts w:ascii="Arial" w:cs="Arial" w:eastAsia="Arial" w:hAnsi="Arial"/>
          <w:sz w:val="22"/>
          <w:szCs w:val="22"/>
        </w:rPr>
        <w:t xml:space="preserve">Spec sidebar is minimal — only Rating (4.20) and Overview shown. No structured fields for Profit Split, Challenge Types, Payout Speed, Platforms, Min Account Size etc.</w:t>
      </w:r>
    </w:p>
    <w:p>
      <w:pPr>
        <w:pStyle w:val="ListParagraph"/>
        <w:numPr>
          <w:ilvl w:val="0"/>
          <w:numId w:val="3"/>
        </w:numPr>
        <w:spacing w:after="60"/>
      </w:pPr>
      <w:r>
        <w:rPr>
          <w:rFonts w:ascii="Arial" w:cs="Arial" w:eastAsia="Arial" w:hAnsi="Arial"/>
          <w:sz w:val="22"/>
          <w:szCs w:val="22"/>
        </w:rPr>
        <w:t xml:space="preserve">Review body truncates at the end — cuts off mid-sentence at "...Spreads and execution quality depend on the broker: C" in the first render, and "...no arbitrage, no trading in banned news" in the second.</w:t>
      </w:r>
    </w:p>
    <w:p>
      <w:pPr>
        <w:pStyle w:val="ListParagraph"/>
        <w:numPr>
          <w:ilvl w:val="0"/>
          <w:numId w:val="3"/>
        </w:numPr>
        <w:spacing w:after="60"/>
      </w:pPr>
      <w:r>
        <w:rPr>
          <w:rFonts w:ascii="Arial" w:cs="Arial" w:eastAsia="Arial" w:hAnsi="Arial"/>
          <w:sz w:val="22"/>
          <w:szCs w:val="22"/>
        </w:rPr>
        <w:t xml:space="preserve">Pros/Cons render correctly and cleanly.</w:t>
      </w:r>
    </w:p>
    <w:p>
      <w:pPr>
        <w:pStyle w:val="Heading3"/>
        <w:spacing w:after="150" w:before="300"/>
      </w:pPr>
      <w:r>
        <w:rPr>
          <w:rFonts w:ascii="Arial" w:cs="Arial" w:eastAsia="Arial" w:hAnsi="Arial"/>
        </w:rPr>
        <w:t xml:space="preserve">Required Fixes</w:t>
      </w:r>
    </w:p>
    <w:p>
      <w:pPr>
        <w:pStyle w:val="ListParagraph"/>
        <w:numPr>
          <w:ilvl w:val="0"/>
          <w:numId w:val="4"/>
        </w:numPr>
        <w:spacing w:after="60"/>
      </w:pPr>
      <w:r>
        <w:rPr>
          <w:rFonts w:ascii="Arial" w:cs="Arial" w:eastAsia="Arial" w:hAnsi="Arial"/>
          <w:sz w:val="22"/>
          <w:szCs w:val="22"/>
        </w:rPr>
        <w:t xml:space="preserve">FIX (Critical): SSR content duplication.</w:t>
      </w:r>
    </w:p>
    <w:p>
      <w:pPr>
        <w:pStyle w:val="ListParagraph"/>
        <w:numPr>
          <w:ilvl w:val="0"/>
          <w:numId w:val="4"/>
        </w:numPr>
        <w:spacing w:after="60"/>
      </w:pPr>
      <w:r>
        <w:rPr>
          <w:rFonts w:ascii="Arial" w:cs="Arial" w:eastAsia="Arial" w:hAnsi="Arial"/>
          <w:sz w:val="22"/>
          <w:szCs w:val="22"/>
        </w:rPr>
        <w:t xml:space="preserve">FIX (Critical): Review body truncation — content is cut off. Same DB column / buffer issue.</w:t>
      </w:r>
    </w:p>
    <w:p>
      <w:pPr>
        <w:pStyle w:val="ListParagraph"/>
        <w:numPr>
          <w:ilvl w:val="0"/>
          <w:numId w:val="4"/>
        </w:numPr>
        <w:spacing w:after="60"/>
      </w:pPr>
      <w:r>
        <w:rPr>
          <w:rFonts w:ascii="Arial" w:cs="Arial" w:eastAsia="Arial" w:hAnsi="Arial"/>
          <w:sz w:val="22"/>
          <w:szCs w:val="22"/>
        </w:rPr>
        <w:t xml:space="preserve">FIX (High): Prop firm spec sidebar needs more fields — add structured data fields like Profit Split, Challenge Types, Account Sizes, Payout Frequency, Platforms, Min Trading Days. The FunderPro page has the same gap. This is a template-level issue for all prop firm reviews.</w:t>
      </w:r>
    </w:p>
    <w:p>
      <w:r>
        <w:br w:type="page"/>
      </w:r>
    </w:p>
    <w:p>
      <w:pPr>
        <w:pStyle w:val="Heading2"/>
        <w:spacing w:after="150" w:before="300"/>
      </w:pPr>
      <w:r>
        <w:rPr>
          <w:rFonts w:ascii="Arial" w:cs="Arial" w:eastAsia="Arial" w:hAnsi="Arial"/>
        </w:rPr>
        <w:t xml:space="preserve">8. GatesFX vs HankoTrade Guide — /broker-guides/gatesfx-vs-hankotrade-...</w:t>
      </w:r>
    </w:p>
    <w:p>
      <w:pPr>
        <w:spacing w:after="120"/>
      </w:pPr>
      <w:r>
        <w:rPr>
          <w:rFonts w:ascii="Arial" w:cs="Arial" w:eastAsia="Arial" w:hAnsi="Arial"/>
          <w:b/>
          <w:bCs/>
          <w:sz w:val="22"/>
          <w:szCs w:val="22"/>
        </w:rPr>
        <w:t xml:space="preserve">URL: </w:t>
      </w:r>
      <w:r>
        <w:rPr>
          <w:rFonts w:ascii="Arial" w:cs="Arial" w:eastAsia="Arial" w:hAnsi="Arial"/>
          <w:sz w:val="22"/>
          <w:szCs w:val="22"/>
        </w:rPr>
        <w:t xml:space="preserve">https://entrylab.io/broker-guides/gatesfx-vs-hankotrade-offshore-broker-comparison-2026</w:t>
      </w:r>
    </w:p>
    <w:p>
      <w:pPr>
        <w:spacing w:after="120"/>
      </w:pPr>
      <w:r>
        <w:rPr>
          <w:rFonts w:ascii="Arial" w:cs="Arial" w:eastAsia="Arial" w:hAnsi="Arial"/>
          <w:b/>
          <w:bCs/>
          <w:sz w:val="22"/>
          <w:szCs w:val="22"/>
        </w:rPr>
        <w:t xml:space="preserve">Content Type: </w:t>
      </w:r>
      <w:r>
        <w:rPr>
          <w:rFonts w:ascii="Arial" w:cs="Arial" w:eastAsia="Arial" w:hAnsi="Arial"/>
          <w:sz w:val="22"/>
          <w:szCs w:val="22"/>
        </w:rPr>
        <w:t xml:space="preserve">Broker Guide (Article)</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Body Renders</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SSR Duplication</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Truncated</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Spec Fields</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Pros/Cons</w:t>
            </w:r>
          </w:p>
        </w:tc>
      </w:tr>
      <w:tr>
        <w:tc>
          <w:tcPr>
            <w:tcW w:type="dxa" w:w="1872"/>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c>
          <w:tcPr>
            <w:tcW w:type="dxa" w:w="1872"/>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WARNING</w:t>
            </w:r>
          </w:p>
        </w:tc>
        <w:tc>
          <w:tcPr>
            <w:tcW w:type="dxa" w:w="1872"/>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c>
          <w:tcPr>
            <w:tcW w:type="dxa" w:w="1872"/>
            <w:tcBorders>
              <w:top w:val="single" w:color="CCCCCC" w:sz="1"/>
              <w:left w:val="single" w:color="CCCCCC" w:sz="1"/>
              <w:bottom w:val="single" w:color="CCCCCC" w:sz="1"/>
              <w:right w:val="single" w:color="CCCCCC" w:sz="1"/>
            </w:tcBorders>
            <w:shd w:fill="CCCCC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w:t>
            </w:r>
          </w:p>
        </w:tc>
        <w:tc>
          <w:tcPr>
            <w:tcW w:type="dxa" w:w="1872"/>
            <w:tcBorders>
              <w:top w:val="single" w:color="CCCCCC" w:sz="1"/>
              <w:left w:val="single" w:color="CCCCCC" w:sz="1"/>
              <w:bottom w:val="single" w:color="CCCCCC" w:sz="1"/>
              <w:right w:val="single" w:color="CCCCCC" w:sz="1"/>
            </w:tcBorders>
            <w:shd w:fill="CCCCC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w:t>
            </w:r>
          </w:p>
        </w:tc>
      </w:tr>
    </w:tbl>
    <w:p>
      <w:pPr>
        <w:pStyle w:val="Heading3"/>
        <w:spacing w:after="150" w:before="300"/>
      </w:pPr>
      <w:r>
        <w:rPr>
          <w:rFonts w:ascii="Arial" w:cs="Arial" w:eastAsia="Arial" w:hAnsi="Arial"/>
        </w:rPr>
        <w:t xml:space="preserve">Findings</w:t>
      </w:r>
    </w:p>
    <w:p>
      <w:pPr>
        <w:pStyle w:val="ListParagraph"/>
        <w:numPr>
          <w:ilvl w:val="0"/>
          <w:numId w:val="3"/>
        </w:numPr>
        <w:spacing w:after="60"/>
      </w:pPr>
      <w:r>
        <w:rPr>
          <w:rFonts w:ascii="Arial" w:cs="Arial" w:eastAsia="Arial" w:hAnsi="Arial"/>
          <w:sz w:val="22"/>
          <w:szCs w:val="22"/>
        </w:rPr>
        <w:t xml:space="preserve">Full article body renders correctly: Quick Comparison table, Regulation and Safety, Platforms, Leverage, Spreads and Pricing, Deposits and Withdrawals, Unique Features, Who Should Choose Which, Bottom Line, Disclaimer.</w:t>
      </w:r>
    </w:p>
    <w:p>
      <w:pPr>
        <w:pStyle w:val="ListParagraph"/>
        <w:numPr>
          <w:ilvl w:val="0"/>
          <w:numId w:val="3"/>
        </w:numPr>
        <w:spacing w:after="60"/>
      </w:pPr>
      <w:r>
        <w:rPr>
          <w:rFonts w:ascii="Arial" w:cs="Arial" w:eastAsia="Arial" w:hAnsi="Arial"/>
          <w:sz w:val="22"/>
          <w:szCs w:val="22"/>
        </w:rPr>
        <w:t xml:space="preserve">Author credit (EntryLab) and date (March 3, 2026) render correctly.</w:t>
      </w:r>
    </w:p>
    <w:p>
      <w:pPr>
        <w:pStyle w:val="ListParagraph"/>
        <w:numPr>
          <w:ilvl w:val="0"/>
          <w:numId w:val="3"/>
        </w:numPr>
        <w:spacing w:after="60"/>
      </w:pPr>
      <w:r>
        <w:rPr>
          <w:rFonts w:ascii="Arial" w:cs="Arial" w:eastAsia="Arial" w:hAnsi="Arial"/>
          <w:sz w:val="22"/>
          <w:szCs w:val="22"/>
        </w:rPr>
        <w:t xml:space="preserve">Comparison table renders cleanly with all fields populated.</w:t>
      </w:r>
    </w:p>
    <w:p>
      <w:pPr>
        <w:pStyle w:val="ListParagraph"/>
        <w:numPr>
          <w:ilvl w:val="0"/>
          <w:numId w:val="3"/>
        </w:numPr>
        <w:spacing w:after="60"/>
      </w:pPr>
      <w:r>
        <w:rPr>
          <w:rFonts w:ascii="Arial" w:cs="Arial" w:eastAsia="Arial" w:hAnsi="Arial"/>
          <w:sz w:val="22"/>
          <w:szCs w:val="22"/>
        </w:rPr>
        <w:t xml:space="preserve">Internal cross-links to GatesFX Review and MT5 vs TradeLocker guide are present but point to old WordPress-era URLs (/popular-broker/gatesfx-review/ and /gatesfx-mt5-vs-tradelocker-which-platform-2026/) which may 404 or redirect.</w:t>
      </w:r>
    </w:p>
    <w:p>
      <w:pPr>
        <w:pStyle w:val="ListParagraph"/>
        <w:numPr>
          <w:ilvl w:val="0"/>
          <w:numId w:val="3"/>
        </w:numPr>
        <w:spacing w:after="60"/>
      </w:pPr>
      <w:r>
        <w:rPr>
          <w:rFonts w:ascii="Arial" w:cs="Arial" w:eastAsia="Arial" w:hAnsi="Arial"/>
          <w:sz w:val="22"/>
          <w:szCs w:val="22"/>
        </w:rPr>
        <w:t xml:space="preserve">Content is complete and well-structured.</w:t>
      </w:r>
    </w:p>
    <w:p>
      <w:pPr>
        <w:pStyle w:val="Heading3"/>
        <w:spacing w:after="150" w:before="300"/>
      </w:pPr>
      <w:r>
        <w:rPr>
          <w:rFonts w:ascii="Arial" w:cs="Arial" w:eastAsia="Arial" w:hAnsi="Arial"/>
        </w:rPr>
        <w:t xml:space="preserve">Required Fixes</w:t>
      </w:r>
    </w:p>
    <w:p>
      <w:pPr>
        <w:pStyle w:val="ListParagraph"/>
        <w:numPr>
          <w:ilvl w:val="0"/>
          <w:numId w:val="4"/>
        </w:numPr>
        <w:spacing w:after="60"/>
      </w:pPr>
      <w:r>
        <w:rPr>
          <w:rFonts w:ascii="Arial" w:cs="Arial" w:eastAsia="Arial" w:hAnsi="Arial"/>
          <w:sz w:val="22"/>
          <w:szCs w:val="22"/>
        </w:rPr>
        <w:t xml:space="preserve">FIX (Critical): SSR content duplication.</w:t>
      </w:r>
    </w:p>
    <w:p>
      <w:pPr>
        <w:pStyle w:val="ListParagraph"/>
        <w:numPr>
          <w:ilvl w:val="0"/>
          <w:numId w:val="4"/>
        </w:numPr>
        <w:spacing w:after="60"/>
      </w:pPr>
      <w:r>
        <w:rPr>
          <w:rFonts w:ascii="Arial" w:cs="Arial" w:eastAsia="Arial" w:hAnsi="Arial"/>
          <w:sz w:val="22"/>
          <w:szCs w:val="22"/>
        </w:rPr>
        <w:t xml:space="preserve">FIX (High): Broken internal links — the article links to /popular-broker/gatesfx-review/ (old WordPress path) instead of /broker/gatesfx-review. Same for the MT5 vs TradeLocker link. These need updating to current URL structure.</w:t>
      </w:r>
    </w:p>
    <w:p>
      <w:r>
        <w:br w:type="page"/>
      </w:r>
    </w:p>
    <w:p>
      <w:pPr>
        <w:pStyle w:val="Heading2"/>
        <w:spacing w:after="150" w:before="300"/>
      </w:pPr>
      <w:r>
        <w:rPr>
          <w:rFonts w:ascii="Arial" w:cs="Arial" w:eastAsia="Arial" w:hAnsi="Arial"/>
        </w:rPr>
        <w:t xml:space="preserve">9. GatesFX Withdrawal Guide — /broker-guides/gatesfx-withdrawal-guide-...</w:t>
      </w:r>
    </w:p>
    <w:p>
      <w:pPr>
        <w:spacing w:after="120"/>
      </w:pPr>
      <w:r>
        <w:rPr>
          <w:rFonts w:ascii="Arial" w:cs="Arial" w:eastAsia="Arial" w:hAnsi="Arial"/>
          <w:b/>
          <w:bCs/>
          <w:sz w:val="22"/>
          <w:szCs w:val="22"/>
        </w:rPr>
        <w:t xml:space="preserve">URL: </w:t>
      </w:r>
      <w:r>
        <w:rPr>
          <w:rFonts w:ascii="Arial" w:cs="Arial" w:eastAsia="Arial" w:hAnsi="Arial"/>
          <w:sz w:val="22"/>
          <w:szCs w:val="22"/>
        </w:rPr>
        <w:t xml:space="preserve">https://entrylab.io/broker-guides/gatesfx-withdrawal-guide-crypto-payouts-fees-processing-times-2026</w:t>
      </w:r>
    </w:p>
    <w:p>
      <w:pPr>
        <w:spacing w:after="120"/>
      </w:pPr>
      <w:r>
        <w:rPr>
          <w:rFonts w:ascii="Arial" w:cs="Arial" w:eastAsia="Arial" w:hAnsi="Arial"/>
          <w:b/>
          <w:bCs/>
          <w:sz w:val="22"/>
          <w:szCs w:val="22"/>
        </w:rPr>
        <w:t xml:space="preserve">Content Type: </w:t>
      </w:r>
      <w:r>
        <w:rPr>
          <w:rFonts w:ascii="Arial" w:cs="Arial" w:eastAsia="Arial" w:hAnsi="Arial"/>
          <w:sz w:val="22"/>
          <w:szCs w:val="22"/>
        </w:rPr>
        <w:t xml:space="preserve">Broker Guide (Article)</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Body Renders</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SSR Duplication</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Truncated</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Spec Fields</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Pros/Cons</w:t>
            </w:r>
          </w:p>
        </w:tc>
      </w:tr>
      <w:tr>
        <w:tc>
          <w:tcPr>
            <w:tcW w:type="dxa" w:w="1872"/>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c>
          <w:tcPr>
            <w:tcW w:type="dxa" w:w="1872"/>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WARNING</w:t>
            </w:r>
          </w:p>
        </w:tc>
        <w:tc>
          <w:tcPr>
            <w:tcW w:type="dxa" w:w="1872"/>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c>
          <w:tcPr>
            <w:tcW w:type="dxa" w:w="1872"/>
            <w:tcBorders>
              <w:top w:val="single" w:color="CCCCCC" w:sz="1"/>
              <w:left w:val="single" w:color="CCCCCC" w:sz="1"/>
              <w:bottom w:val="single" w:color="CCCCCC" w:sz="1"/>
              <w:right w:val="single" w:color="CCCCCC" w:sz="1"/>
            </w:tcBorders>
            <w:shd w:fill="CCCCC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w:t>
            </w:r>
          </w:p>
        </w:tc>
        <w:tc>
          <w:tcPr>
            <w:tcW w:type="dxa" w:w="1872"/>
            <w:tcBorders>
              <w:top w:val="single" w:color="CCCCCC" w:sz="1"/>
              <w:left w:val="single" w:color="CCCCCC" w:sz="1"/>
              <w:bottom w:val="single" w:color="CCCCCC" w:sz="1"/>
              <w:right w:val="single" w:color="CCCCCC" w:sz="1"/>
            </w:tcBorders>
            <w:shd w:fill="CCCCC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w:t>
            </w:r>
          </w:p>
        </w:tc>
      </w:tr>
    </w:tbl>
    <w:p>
      <w:pPr>
        <w:pStyle w:val="Heading3"/>
        <w:spacing w:after="150" w:before="300"/>
      </w:pPr>
      <w:r>
        <w:rPr>
          <w:rFonts w:ascii="Arial" w:cs="Arial" w:eastAsia="Arial" w:hAnsi="Arial"/>
        </w:rPr>
        <w:t xml:space="preserve">Findings</w:t>
      </w:r>
    </w:p>
    <w:p>
      <w:pPr>
        <w:pStyle w:val="ListParagraph"/>
        <w:numPr>
          <w:ilvl w:val="0"/>
          <w:numId w:val="3"/>
        </w:numPr>
        <w:spacing w:after="60"/>
      </w:pPr>
      <w:r>
        <w:rPr>
          <w:rFonts w:ascii="Arial" w:cs="Arial" w:eastAsia="Arial" w:hAnsi="Arial"/>
          <w:sz w:val="22"/>
          <w:szCs w:val="22"/>
        </w:rPr>
        <w:t xml:space="preserve">Full article body renders correctly: Withdrawal Basics, Step-by-Step Process, Network Fee Comparison table, Common Withdrawal Issues, Tips, GatesFX vs HeroFX Withdrawals table, Bottom Line, Disclaimer.</w:t>
      </w:r>
    </w:p>
    <w:p>
      <w:pPr>
        <w:pStyle w:val="ListParagraph"/>
        <w:numPr>
          <w:ilvl w:val="0"/>
          <w:numId w:val="3"/>
        </w:numPr>
        <w:spacing w:after="60"/>
      </w:pPr>
      <w:r>
        <w:rPr>
          <w:rFonts w:ascii="Arial" w:cs="Arial" w:eastAsia="Arial" w:hAnsi="Arial"/>
          <w:sz w:val="22"/>
          <w:szCs w:val="22"/>
        </w:rPr>
        <w:t xml:space="preserve">Author credit (EntryLab) and date (March 3, 2026) render correctly.</w:t>
      </w:r>
    </w:p>
    <w:p>
      <w:pPr>
        <w:pStyle w:val="ListParagraph"/>
        <w:numPr>
          <w:ilvl w:val="0"/>
          <w:numId w:val="3"/>
        </w:numPr>
        <w:spacing w:after="60"/>
      </w:pPr>
      <w:r>
        <w:rPr>
          <w:rFonts w:ascii="Arial" w:cs="Arial" w:eastAsia="Arial" w:hAnsi="Arial"/>
          <w:sz w:val="22"/>
          <w:szCs w:val="22"/>
        </w:rPr>
        <w:t xml:space="preserve">Both comparison tables render cleanly.</w:t>
      </w:r>
    </w:p>
    <w:p>
      <w:pPr>
        <w:pStyle w:val="ListParagraph"/>
        <w:numPr>
          <w:ilvl w:val="0"/>
          <w:numId w:val="3"/>
        </w:numPr>
        <w:spacing w:after="60"/>
      </w:pPr>
      <w:r>
        <w:rPr>
          <w:rFonts w:ascii="Arial" w:cs="Arial" w:eastAsia="Arial" w:hAnsi="Arial"/>
          <w:sz w:val="22"/>
          <w:szCs w:val="22"/>
        </w:rPr>
        <w:t xml:space="preserve">Same broken internal link issue — links to /popular-broker/gatesfx-review/ (old URL) instead of current path.</w:t>
      </w:r>
    </w:p>
    <w:p>
      <w:pPr>
        <w:pStyle w:val="ListParagraph"/>
        <w:numPr>
          <w:ilvl w:val="0"/>
          <w:numId w:val="3"/>
        </w:numPr>
        <w:spacing w:after="60"/>
      </w:pPr>
      <w:r>
        <w:rPr>
          <w:rFonts w:ascii="Arial" w:cs="Arial" w:eastAsia="Arial" w:hAnsi="Arial"/>
          <w:sz w:val="22"/>
          <w:szCs w:val="22"/>
        </w:rPr>
        <w:t xml:space="preserve">Content is complete, practical, and well-structured.</w:t>
      </w:r>
    </w:p>
    <w:p>
      <w:pPr>
        <w:pStyle w:val="Heading3"/>
        <w:spacing w:after="150" w:before="300"/>
      </w:pPr>
      <w:r>
        <w:rPr>
          <w:rFonts w:ascii="Arial" w:cs="Arial" w:eastAsia="Arial" w:hAnsi="Arial"/>
        </w:rPr>
        <w:t xml:space="preserve">Required Fixes</w:t>
      </w:r>
    </w:p>
    <w:p>
      <w:pPr>
        <w:pStyle w:val="ListParagraph"/>
        <w:numPr>
          <w:ilvl w:val="0"/>
          <w:numId w:val="4"/>
        </w:numPr>
        <w:spacing w:after="60"/>
      </w:pPr>
      <w:r>
        <w:rPr>
          <w:rFonts w:ascii="Arial" w:cs="Arial" w:eastAsia="Arial" w:hAnsi="Arial"/>
          <w:sz w:val="22"/>
          <w:szCs w:val="22"/>
        </w:rPr>
        <w:t xml:space="preserve">FIX (Critical): SSR content duplication.</w:t>
      </w:r>
    </w:p>
    <w:p>
      <w:pPr>
        <w:pStyle w:val="ListParagraph"/>
        <w:numPr>
          <w:ilvl w:val="0"/>
          <w:numId w:val="4"/>
        </w:numPr>
        <w:spacing w:after="60"/>
      </w:pPr>
      <w:r>
        <w:rPr>
          <w:rFonts w:ascii="Arial" w:cs="Arial" w:eastAsia="Arial" w:hAnsi="Arial"/>
          <w:sz w:val="22"/>
          <w:szCs w:val="22"/>
        </w:rPr>
        <w:t xml:space="preserve">FIX (High): Broken internal link to GatesFX review — same old WordPress URL issue.</w:t>
      </w:r>
    </w:p>
    <w:p>
      <w:r>
        <w:br w:type="page"/>
      </w:r>
    </w:p>
    <w:p>
      <w:pPr>
        <w:pStyle w:val="Heading1"/>
        <w:spacing w:after="150" w:before="300"/>
      </w:pPr>
      <w:r>
        <w:rPr>
          <w:rFonts w:ascii="Arial" w:cs="Arial" w:eastAsia="Arial" w:hAnsi="Arial"/>
        </w:rPr>
        <w:t xml:space="preserve">Prioritised Fix List</w:t>
      </w:r>
    </w:p>
    <w:p>
      <w:pPr>
        <w:pStyle w:val="Heading2"/>
        <w:spacing w:after="150" w:before="300"/>
      </w:pPr>
      <w:r>
        <w:rPr>
          <w:rFonts w:ascii="Arial" w:cs="Arial" w:eastAsia="Arial" w:hAnsi="Arial"/>
        </w:rPr>
        <w:t xml:space="preserve">Critical (Fix Immediately)</w:t>
      </w:r>
    </w:p>
    <w:p>
      <w:pPr>
        <w:pStyle w:val="ListParagraph"/>
        <w:numPr>
          <w:ilvl w:val="0"/>
          <w:numId w:val="5"/>
        </w:numPr>
        <w:spacing w:after="60"/>
      </w:pPr>
      <w:r>
        <w:rPr>
          <w:rFonts w:ascii="Arial" w:cs="Arial" w:eastAsia="Arial" w:hAnsi="Arial"/>
          <w:sz w:val="22"/>
          <w:szCs w:val="22"/>
        </w:rPr>
        <w:t xml:space="preserve">SSR content duplication across all page types — fix the injection middleware to prevent React from re-rendering content that SSR already inserted. This affects every page on the site.</w:t>
      </w:r>
    </w:p>
    <w:p>
      <w:pPr>
        <w:pStyle w:val="ListParagraph"/>
        <w:numPr>
          <w:ilvl w:val="0"/>
          <w:numId w:val="5"/>
        </w:numPr>
        <w:spacing w:after="60"/>
      </w:pPr>
      <w:r>
        <w:rPr>
          <w:rFonts w:ascii="Arial" w:cs="Arial" w:eastAsia="Arial" w:hAnsi="Arial"/>
          <w:sz w:val="22"/>
          <w:szCs w:val="22"/>
        </w:rPr>
        <w:t xml:space="preserve">GatesFX review (/broker/gatesfx-review) returns no content at all — SSR injection completely missing for this page. This is one of the most cross-linked pages on the site.</w:t>
      </w:r>
    </w:p>
    <w:p>
      <w:pPr>
        <w:pStyle w:val="ListParagraph"/>
        <w:numPr>
          <w:ilvl w:val="0"/>
          <w:numId w:val="5"/>
        </w:numPr>
        <w:spacing w:after="60"/>
      </w:pPr>
      <w:r>
        <w:rPr>
          <w:rFonts w:ascii="Arial" w:cs="Arial" w:eastAsia="Arial" w:hAnsi="Arial"/>
          <w:sz w:val="22"/>
          <w:szCs w:val="22"/>
        </w:rPr>
        <w:t xml:space="preserve">Content truncation on 4+ reviews — review bodies cut off mid-sentence. Investigate the SSR injection buffer size and DB column types.</w:t>
      </w:r>
    </w:p>
    <w:p>
      <w:pPr>
        <w:pStyle w:val="ListParagraph"/>
        <w:numPr>
          <w:ilvl w:val="0"/>
          <w:numId w:val="5"/>
        </w:numPr>
        <w:spacing w:after="60"/>
      </w:pPr>
      <w:r>
        <w:rPr>
          <w:rFonts w:ascii="Arial" w:cs="Arial" w:eastAsia="Arial" w:hAnsi="Arial"/>
          <w:sz w:val="22"/>
          <w:szCs w:val="22"/>
        </w:rPr>
        <w:t xml:space="preserve">Escaped markdown in Tradu pros/cons — raw \*\* syntax visible to users instead of bold text.</w:t>
      </w:r>
    </w:p>
    <w:p>
      <w:pPr>
        <w:pStyle w:val="Heading2"/>
        <w:spacing w:after="150" w:before="300"/>
      </w:pPr>
      <w:r>
        <w:rPr>
          <w:rFonts w:ascii="Arial" w:cs="Arial" w:eastAsia="Arial" w:hAnsi="Arial"/>
        </w:rPr>
        <w:t xml:space="preserve">High Priority</w:t>
      </w:r>
    </w:p>
    <w:p>
      <w:pPr>
        <w:pStyle w:val="ListParagraph"/>
        <w:numPr>
          <w:ilvl w:val="0"/>
          <w:numId w:val="6"/>
        </w:numPr>
        <w:spacing w:after="60"/>
      </w:pPr>
      <w:r>
        <w:rPr>
          <w:rFonts w:ascii="Arial" w:cs="Arial" w:eastAsia="Arial" w:hAnsi="Arial"/>
          <w:sz w:val="22"/>
          <w:szCs w:val="22"/>
        </w:rPr>
        <w:t xml:space="preserve">Broken internal links in broker guides — old WordPress URLs (/popular-broker/...) need updating to current routes (/broker/...).</w:t>
      </w:r>
    </w:p>
    <w:p>
      <w:pPr>
        <w:pStyle w:val="ListParagraph"/>
        <w:numPr>
          <w:ilvl w:val="0"/>
          <w:numId w:val="6"/>
        </w:numPr>
        <w:spacing w:after="60"/>
      </w:pPr>
      <w:r>
        <w:rPr>
          <w:rFonts w:ascii="Arial" w:cs="Arial" w:eastAsia="Arial" w:hAnsi="Arial"/>
          <w:sz w:val="22"/>
          <w:szCs w:val="22"/>
        </w:rPr>
        <w:t xml:space="preserve">Empty Cons list on Moneta Markets review — needs editorial content for credibility.</w:t>
      </w:r>
    </w:p>
    <w:p>
      <w:pPr>
        <w:pStyle w:val="ListParagraph"/>
        <w:numPr>
          <w:ilvl w:val="0"/>
          <w:numId w:val="6"/>
        </w:numPr>
        <w:spacing w:after="60"/>
      </w:pPr>
      <w:r>
        <w:rPr>
          <w:rFonts w:ascii="Arial" w:cs="Arial" w:eastAsia="Arial" w:hAnsi="Arial"/>
          <w:sz w:val="22"/>
          <w:szCs w:val="22"/>
        </w:rPr>
        <w:t xml:space="preserve">Prop firm review template needs more spec sidebar fields (Profit Split, Challenge Types, Payout Frequency, Platforms, etc.).</w:t>
      </w:r>
    </w:p>
    <w:p>
      <w:pPr>
        <w:pStyle w:val="ListParagraph"/>
        <w:numPr>
          <w:ilvl w:val="0"/>
          <w:numId w:val="6"/>
        </w:numPr>
        <w:spacing w:after="60"/>
      </w:pPr>
      <w:r>
        <w:rPr>
          <w:rFonts w:ascii="Arial" w:cs="Arial" w:eastAsia="Arial" w:hAnsi="Arial"/>
          <w:sz w:val="22"/>
          <w:szCs w:val="22"/>
        </w:rPr>
        <w:t xml:space="preserve">LiquidBrokers review content depth — significantly thinner than peer reviews; consider expanding to match the structured template.</w:t>
      </w:r>
    </w:p>
    <w:p>
      <w:pPr>
        <w:pStyle w:val="ListParagraph"/>
        <w:numPr>
          <w:ilvl w:val="0"/>
          <w:numId w:val="6"/>
        </w:numPr>
        <w:spacing w:after="60"/>
      </w:pPr>
      <w:r>
        <w:rPr>
          <w:rFonts w:ascii="Arial" w:cs="Arial" w:eastAsia="Arial" w:hAnsi="Arial"/>
          <w:sz w:val="22"/>
          <w:szCs w:val="22"/>
        </w:rPr>
        <w:t xml:space="preserve">GatesFX review SEO title too generic — update to match "[Broker] Review 2026: [Key Detail] | EntryLab" pattern.</w:t>
      </w:r>
    </w:p>
    <w:p>
      <w:pPr>
        <w:pStyle w:val="Heading2"/>
        <w:spacing w:after="150" w:before="300"/>
      </w:pPr>
      <w:r>
        <w:rPr>
          <w:rFonts w:ascii="Arial" w:cs="Arial" w:eastAsia="Arial" w:hAnsi="Arial"/>
        </w:rPr>
        <w:t xml:space="preserve">Medium Priority</w:t>
      </w:r>
    </w:p>
    <w:p>
      <w:pPr>
        <w:pStyle w:val="ListParagraph"/>
        <w:numPr>
          <w:ilvl w:val="0"/>
          <w:numId w:val="7"/>
        </w:numPr>
        <w:spacing w:after="60"/>
      </w:pPr>
      <w:r>
        <w:rPr>
          <w:rFonts w:ascii="Arial" w:cs="Arial" w:eastAsia="Arial" w:hAnsi="Arial"/>
          <w:sz w:val="22"/>
          <w:szCs w:val="22"/>
        </w:rPr>
        <w:t xml:space="preserve">Pros/Cons comma-splitting bug (TMGM and others) — items with internal commas break into multiple bullets.</w:t>
      </w:r>
    </w:p>
    <w:p>
      <w:pPr>
        <w:pStyle w:val="ListParagraph"/>
        <w:numPr>
          <w:ilvl w:val="0"/>
          <w:numId w:val="7"/>
        </w:numPr>
        <w:spacing w:after="60"/>
      </w:pPr>
      <w:r>
        <w:rPr>
          <w:rFonts w:ascii="Arial" w:cs="Arial" w:eastAsia="Arial" w:hAnsi="Arial"/>
          <w:sz w:val="22"/>
          <w:szCs w:val="22"/>
        </w:rPr>
        <w:t xml:space="preserve">Slug inconsistency — some broker pages use -review suffix, others don't. Standardise.</w:t>
      </w:r>
    </w:p>
    <w:p>
      <w:pPr>
        <w:pStyle w:val="ListParagraph"/>
        <w:numPr>
          <w:ilvl w:val="0"/>
          <w:numId w:val="7"/>
        </w:numPr>
        <w:spacing w:after="60"/>
      </w:pPr>
      <w:r>
        <w:rPr>
          <w:rFonts w:ascii="Arial" w:cs="Arial" w:eastAsia="Arial" w:hAnsi="Arial"/>
          <w:sz w:val="22"/>
          <w:szCs w:val="22"/>
        </w:rPr>
        <w:t xml:space="preserve">Heading level inconsistency — AvaTrade uses H3, others use H2. Standardise across all reviews.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2026-03-17T11:50:21.839Z</dcterms:created>
  <dcterms:modified xsi:type="dcterms:W3CDTF">2026-03-17T11:50:21.840Z</dcterms:modified>
</cp:coreProperties>
</file>

<file path=docProps/custom.xml><?xml version="1.0" encoding="utf-8"?>
<Properties xmlns="http://schemas.openxmlformats.org/officeDocument/2006/custom-properties" xmlns:vt="http://schemas.openxmlformats.org/officeDocument/2006/docPropsVTypes"/>
</file>