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89"/>
        <w:gridCol w:w="3445"/>
        <w:gridCol w:w="3444"/>
        <w:gridCol w:w="4021"/>
        <w:gridCol w:w="2871"/>
      </w:tblGrid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Tuesday, 6 June</w:t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Wednesday, 7 June</w:t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Thursday, 8 June</w:t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Friday, 9 June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Registration </w:t>
            </w:r>
            <w:r>
              <w:rPr>
                <w:sz w:val="20"/>
                <w:szCs w:val="20"/>
              </w:rPr>
              <w:t>from 9.15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Foyer, Arts Millennium Building</w:t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 xml:space="preserve"> (venue???)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Science Communication Workshop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Fergus McAuliffe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Venue???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Break 10.45-11.00 </w:t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Problem Presentations, AM150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Seshu Tirupathi, IBM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Medtronic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Manzari, KTH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Colm Clancy, MET Eireann</w:t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John Donohue: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title</w:t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>, ADB-G021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Luca Manzari: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Look but don’t touch!Toward non-contact measurement techniques an</w:t>
            </w:r>
            <w:r>
              <w:rPr>
                <w:i/>
                <w:iCs/>
                <w:sz w:val="20"/>
                <w:szCs w:val="20"/>
              </w:rPr>
              <w:t>d</w:t>
            </w:r>
            <w:r>
              <w:rPr>
                <w:i/>
                <w:iCs/>
                <w:sz w:val="20"/>
                <w:szCs w:val="20"/>
              </w:rPr>
              <w:t xml:space="preserve"> solutions for the chatacterization of anisotropic, viscoelastic materials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>, ADB-G021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Allocation / Meet with Mentors</w:t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2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Tuoi Vo: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Mathematical models of drug release from drug-eluting stents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Doireann O'Kiely:</w:t>
            </w:r>
            <w:r>
              <w:rPr>
                <w:sz w:val="20"/>
                <w:szCs w:val="20"/>
              </w:rPr>
              <w:t xml:space="preserve"> mathematical models for glass manufacture (with asymptotics + FEniCS)</w:t>
            </w:r>
          </w:p>
        </w:tc>
        <w:tc>
          <w:tcPr>
            <w:tcW w:w="2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Presentations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14:30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Closing</w:t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16:30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 dinner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156</Words>
  <Characters>965</Characters>
  <CharactersWithSpaces>1060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2017-05-31T15:33:14Z</dcterms:created>
  <dc:creator/>
  <dc:description/>
  <dc:language>en-GB</dc:language>
  <cp:lastModifiedBy/>
  <dcterms:modified xsi:type="dcterms:W3CDTF">2017-06-01T11:53:11Z</dcterms:modified>
  <cp:revision>6</cp:revision>
  <dc:subject/>
  <dc:title/>
</cp:coreProperties>
</file>