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88038" w14:textId="35FB3D19" w:rsidR="00E056F0" w:rsidRDefault="00807B03" w:rsidP="00E056F0">
      <w:pPr>
        <w:pStyle w:val="Heading1"/>
        <w:numPr>
          <w:ilvl w:val="0"/>
          <w:numId w:val="2"/>
        </w:numPr>
      </w:pPr>
      <w:r>
        <w:t>Introduction</w:t>
      </w:r>
    </w:p>
    <w:p w14:paraId="489A6654" w14:textId="7A80A08F" w:rsidR="00E056F0" w:rsidRDefault="00E056F0" w:rsidP="00E056F0">
      <w:r>
        <w:t xml:space="preserve">This supporting report accompanies the research paper for the machine unlearning project and provides additional detail on the research, development and decision-making processes that could not be fully represented within the paper. </w:t>
      </w:r>
    </w:p>
    <w:p w14:paraId="14A506C5" w14:textId="70AF886E" w:rsidR="00E056F0" w:rsidRDefault="00E056F0" w:rsidP="00E056F0">
      <w:r>
        <w:t xml:space="preserve">This project investigates machine unlearning, where the aim is to remove the influence of selected training data from a trained machine learning model, without requiring the model to be completely retrained from the retained data. It considers both full retraining and different approximate unlearning approaches, reviewing the </w:t>
      </w:r>
      <w:r w:rsidR="004359E1">
        <w:t>trade-off</w:t>
      </w:r>
      <w:r>
        <w:t xml:space="preserve"> between removing the influence of the data to be forgotten and maintaining performance on the data to be retained.</w:t>
      </w:r>
    </w:p>
    <w:p w14:paraId="0999F911" w14:textId="430C5C6B" w:rsidR="00807B03" w:rsidRDefault="00807B03" w:rsidP="00807B03">
      <w:pPr>
        <w:pStyle w:val="Heading1"/>
        <w:numPr>
          <w:ilvl w:val="0"/>
          <w:numId w:val="2"/>
        </w:numPr>
      </w:pPr>
      <w:r>
        <w:t>Literature Review</w:t>
      </w:r>
    </w:p>
    <w:p w14:paraId="557D7013" w14:textId="70115527" w:rsidR="00807B03" w:rsidRDefault="00807B03" w:rsidP="00807B03">
      <w:pPr>
        <w:pStyle w:val="Heading2"/>
        <w:numPr>
          <w:ilvl w:val="1"/>
          <w:numId w:val="2"/>
        </w:numPr>
      </w:pPr>
      <w:r>
        <w:t>Machine Unlearning and the Right t</w:t>
      </w:r>
      <w:r w:rsidR="00071EDF">
        <w:t>o</w:t>
      </w:r>
      <w:r>
        <w:t xml:space="preserve"> be Forgotten</w:t>
      </w:r>
    </w:p>
    <w:p w14:paraId="5E1D546C" w14:textId="42CDA7C0" w:rsidR="004359E1" w:rsidRDefault="004359E1" w:rsidP="004359E1">
      <w:r>
        <w:t xml:space="preserve">Machine learning has become increasingly integrated into systems that support decisions across a wide </w:t>
      </w:r>
      <w:r w:rsidR="00607FC2">
        <w:t>range</w:t>
      </w:r>
      <w:r>
        <w:t xml:space="preserve"> of sectors. Models</w:t>
      </w:r>
      <w:r w:rsidR="00607FC2">
        <w:t xml:space="preserve"> are now used in areas such as healthcare to support diagnosis and risk prediction, and across businesses to predict customer behaviour and automate decision making processes. These applications demonstrate the value that can be gained from learning patterns within large datasets. However, many of these systems depend on data relating to individuals, including financial, demographic, behavioural and health information. As the use of such data increases, questions surrounding privacy and a </w:t>
      </w:r>
      <w:r w:rsidR="00071EDF">
        <w:t>person’s</w:t>
      </w:r>
      <w:r w:rsidR="00607FC2">
        <w:t xml:space="preserve"> control over their own personal data becomes increasingly important. </w:t>
      </w:r>
    </w:p>
    <w:p w14:paraId="1363C25E" w14:textId="4946C225" w:rsidR="00607FC2" w:rsidRDefault="00607FC2" w:rsidP="004359E1">
      <w:r>
        <w:t>Privacy has long been recognised as a fundamental right, but the growth of the digital age has introduced new challenges around how personal information is collected, stored and made accessible. Zhang et al.</w:t>
      </w:r>
      <w:sdt>
        <w:sdtPr>
          <w:id w:val="-1974206692"/>
          <w:citation/>
        </w:sdtPr>
        <w:sdtContent>
          <w:r w:rsidR="00A76255">
            <w:fldChar w:fldCharType="begin"/>
          </w:r>
          <w:r w:rsidR="00A76255">
            <w:instrText xml:space="preserve">CITATION Zha23 \l 2057 </w:instrText>
          </w:r>
          <w:r w:rsidR="00A76255">
            <w:fldChar w:fldCharType="separate"/>
          </w:r>
          <w:r w:rsidR="004038F0">
            <w:rPr>
              <w:noProof/>
            </w:rPr>
            <w:t xml:space="preserve"> </w:t>
          </w:r>
          <w:r w:rsidR="004038F0" w:rsidRPr="004038F0">
            <w:rPr>
              <w:noProof/>
            </w:rPr>
            <w:t>[1]</w:t>
          </w:r>
          <w:r w:rsidR="00A76255">
            <w:fldChar w:fldCharType="end"/>
          </w:r>
        </w:sdtContent>
      </w:sdt>
      <w:r>
        <w:t xml:space="preserve"> </w:t>
      </w:r>
      <w:r w:rsidR="00A76255">
        <w:t>describe the Right to be Forgotten (RTBF) as an important development of this wider right to privacy in response to an increasingly data-driven society. It gained particular attention following the 2014 Google Spain case.</w:t>
      </w:r>
      <w:r w:rsidR="00F7719C">
        <w:t xml:space="preserve"> </w:t>
      </w:r>
      <w:sdt>
        <w:sdtPr>
          <w:id w:val="-1051615693"/>
          <w:citation/>
        </w:sdtPr>
        <w:sdtContent>
          <w:r w:rsidR="00F7719C">
            <w:fldChar w:fldCharType="begin"/>
          </w:r>
          <w:r w:rsidR="00F7719C">
            <w:instrText xml:space="preserve"> CITATION Zha23 \l 2057 </w:instrText>
          </w:r>
          <w:r w:rsidR="00F7719C">
            <w:fldChar w:fldCharType="separate"/>
          </w:r>
          <w:r w:rsidR="004038F0" w:rsidRPr="004038F0">
            <w:rPr>
              <w:noProof/>
            </w:rPr>
            <w:t>[1]</w:t>
          </w:r>
          <w:r w:rsidR="00F7719C">
            <w:fldChar w:fldCharType="end"/>
          </w:r>
        </w:sdtContent>
      </w:sdt>
      <w:r w:rsidR="00F7719C">
        <w:t xml:space="preserve"> </w:t>
      </w:r>
      <w:sdt>
        <w:sdtPr>
          <w:id w:val="-683276884"/>
          <w:citation/>
        </w:sdtPr>
        <w:sdtContent>
          <w:r w:rsidR="00F7719C">
            <w:fldChar w:fldCharType="begin"/>
          </w:r>
          <w:r w:rsidR="00F7719C">
            <w:instrText xml:space="preserve"> CITATION Goo14 \l 2057 </w:instrText>
          </w:r>
          <w:r w:rsidR="00F7719C">
            <w:fldChar w:fldCharType="separate"/>
          </w:r>
          <w:r w:rsidR="004038F0" w:rsidRPr="004038F0">
            <w:rPr>
              <w:noProof/>
            </w:rPr>
            <w:t>[2]</w:t>
          </w:r>
          <w:r w:rsidR="00F7719C">
            <w:fldChar w:fldCharType="end"/>
          </w:r>
        </w:sdtContent>
      </w:sdt>
      <w:r w:rsidR="00F7719C">
        <w:t xml:space="preserve"> </w:t>
      </w:r>
      <w:r w:rsidR="00A76255">
        <w:t>This case involved a Spanish citizen who requested the removal of links to old personal information that appeared when his name was searched on Google. Although it had been originally published legally, he argued that it was no longer relevant and should not appear in search results anymore. The Court of Justice of the European Union ruled that individuals could, under certain circumstances, request that search engines remove links to personal information associated with their name.</w:t>
      </w:r>
      <w:sdt>
        <w:sdtPr>
          <w:id w:val="-359747313"/>
          <w:citation/>
        </w:sdtPr>
        <w:sdtContent>
          <w:r w:rsidR="00F7719C">
            <w:fldChar w:fldCharType="begin"/>
          </w:r>
          <w:r w:rsidR="00F7719C">
            <w:instrText xml:space="preserve"> CITATION Goo14 \l 2057 </w:instrText>
          </w:r>
          <w:r w:rsidR="00F7719C">
            <w:fldChar w:fldCharType="separate"/>
          </w:r>
          <w:r w:rsidR="004038F0">
            <w:rPr>
              <w:noProof/>
            </w:rPr>
            <w:t xml:space="preserve"> </w:t>
          </w:r>
          <w:r w:rsidR="004038F0" w:rsidRPr="004038F0">
            <w:rPr>
              <w:noProof/>
            </w:rPr>
            <w:t>[2]</w:t>
          </w:r>
          <w:r w:rsidR="00F7719C">
            <w:fldChar w:fldCharType="end"/>
          </w:r>
        </w:sdtContent>
      </w:sdt>
      <w:r w:rsidR="00A76255">
        <w:t xml:space="preserve"> This decision became an important step in establishing greater control over how personal information remain available online. </w:t>
      </w:r>
    </w:p>
    <w:p w14:paraId="7622FCC0" w14:textId="24728E92" w:rsidR="00B52C9A" w:rsidRDefault="00F7719C" w:rsidP="004359E1">
      <w:r>
        <w:lastRenderedPageBreak/>
        <w:t>The Right to be Forgotten was later strengthened thought the introduction of the General Data Protection Regulation (GDPR). The GDPR came into effect in May 2018 and introduced stronger rules surrounding the collection, processing and protection of personal data within the European Union</w:t>
      </w:r>
      <w:r w:rsidR="005332DA">
        <w:t>.</w:t>
      </w:r>
      <w:sdt>
        <w:sdtPr>
          <w:id w:val="1133676654"/>
          <w:citation/>
        </w:sdtPr>
        <w:sdtContent>
          <w:r w:rsidR="005332DA">
            <w:fldChar w:fldCharType="begin"/>
          </w:r>
          <w:r w:rsidR="005332DA">
            <w:instrText xml:space="preserve"> CITATION Eur16 \l 2057 </w:instrText>
          </w:r>
          <w:r w:rsidR="005332DA">
            <w:fldChar w:fldCharType="separate"/>
          </w:r>
          <w:r w:rsidR="004038F0">
            <w:rPr>
              <w:noProof/>
            </w:rPr>
            <w:t xml:space="preserve"> </w:t>
          </w:r>
          <w:r w:rsidR="004038F0" w:rsidRPr="004038F0">
            <w:rPr>
              <w:noProof/>
            </w:rPr>
            <w:t>[3]</w:t>
          </w:r>
          <w:r w:rsidR="005332DA">
            <w:fldChar w:fldCharType="end"/>
          </w:r>
        </w:sdtContent>
      </w:sdt>
      <w:r w:rsidR="005332DA">
        <w:t xml:space="preserve"> Article 17 of the GDPR specifically outlines the Right to Erasure, commonly referred to as the Right to be Forgotten. This gives individuals the right, under certain circumstances to request that an organisation removes personal data held about them. This can apply for example, when the data is no longer required for the purpose of which it was originally collected for, when consent has been withdrawn, or when the data has been unlawfully processed. </w:t>
      </w:r>
      <w:r w:rsidR="00B52C9A">
        <w:t>These principles helped to inform the deletion scenarios used within the experiments, where records may need to be removed for different reasons rather than simply deleting an arbitrary proportion of the training data.</w:t>
      </w:r>
    </w:p>
    <w:p w14:paraId="4DB0B37F" w14:textId="0FFB48A3" w:rsidR="00B52C9A" w:rsidRDefault="00B52C9A" w:rsidP="004359E1">
      <w:r>
        <w:t xml:space="preserve">Applying the RTBF becomes more complicated when personal data has already been used to train a machine learning model. Zhang et al. </w:t>
      </w:r>
      <w:sdt>
        <w:sdtPr>
          <w:id w:val="-2023535653"/>
          <w:citation/>
        </w:sdtPr>
        <w:sdtContent>
          <w:r>
            <w:fldChar w:fldCharType="begin"/>
          </w:r>
          <w:r>
            <w:instrText xml:space="preserve"> CITATION Zha23 \l 2057 </w:instrText>
          </w:r>
          <w:r>
            <w:fldChar w:fldCharType="separate"/>
          </w:r>
          <w:r w:rsidR="004038F0" w:rsidRPr="004038F0">
            <w:rPr>
              <w:noProof/>
            </w:rPr>
            <w:t>[1]</w:t>
          </w:r>
          <w:r>
            <w:fldChar w:fldCharType="end"/>
          </w:r>
        </w:sdtContent>
      </w:sdt>
      <w:r>
        <w:t xml:space="preserve"> explore this problem by comparing traditional search engines with Large Language Models (LLMs). Search engines retrieve information from indexed sources, meaning that links to specific information can be identified and removed from search results, as demonstrated by the Google Spain case. LLMs operate differently, as information from the training data influences the model and becomes embedded in its parameters. There </w:t>
      </w:r>
      <w:proofErr w:type="gramStart"/>
      <w:r>
        <w:t>is</w:t>
      </w:r>
      <w:proofErr w:type="gramEnd"/>
      <w:r>
        <w:t xml:space="preserve"> therefore, no individual record within the trained model </w:t>
      </w:r>
      <w:r w:rsidR="00071EDF">
        <w:t xml:space="preserve">that can simply be located and removed when a deletion request is received. Although Zhang et al. focus specifically on LLMs, there is a wider issue that is also relevant to tabular machine learning models. Deleting a record from the original training dataset does not necessarily remove the influence that it has already had on a trained model, providing a motivation for machine unlearning. </w:t>
      </w:r>
    </w:p>
    <w:p w14:paraId="16972F5F" w14:textId="77777777" w:rsidR="00A76255" w:rsidRPr="004359E1" w:rsidRDefault="00A76255" w:rsidP="004359E1"/>
    <w:p w14:paraId="3497AE7A" w14:textId="66A94A4A" w:rsidR="00807B03" w:rsidRDefault="00807B03" w:rsidP="00807B03">
      <w:pPr>
        <w:pStyle w:val="Heading2"/>
        <w:numPr>
          <w:ilvl w:val="1"/>
          <w:numId w:val="2"/>
        </w:numPr>
      </w:pPr>
      <w:r>
        <w:t>Exact and Approximate Machine Unlearning</w:t>
      </w:r>
    </w:p>
    <w:p w14:paraId="47C33E89" w14:textId="340274C7" w:rsidR="006376C1" w:rsidRDefault="006376C1" w:rsidP="006376C1">
      <w:r>
        <w:t>Once a deletion request has been received, removing the requested records from the training dataset is very straightforward. Problems arise more when determining how the already-trained model should be updated. Jie Xu et al.</w:t>
      </w:r>
      <w:sdt>
        <w:sdtPr>
          <w:id w:val="1805578565"/>
          <w:citation/>
        </w:sdtPr>
        <w:sdtContent>
          <w:r>
            <w:fldChar w:fldCharType="begin"/>
          </w:r>
          <w:r>
            <w:instrText xml:space="preserve"> CITATION XuJ24 \l 2057 </w:instrText>
          </w:r>
          <w:r>
            <w:fldChar w:fldCharType="separate"/>
          </w:r>
          <w:r w:rsidR="004038F0">
            <w:rPr>
              <w:noProof/>
            </w:rPr>
            <w:t xml:space="preserve"> </w:t>
          </w:r>
          <w:r w:rsidR="004038F0" w:rsidRPr="004038F0">
            <w:rPr>
              <w:noProof/>
            </w:rPr>
            <w:t>[4]</w:t>
          </w:r>
          <w:r>
            <w:fldChar w:fldCharType="end"/>
          </w:r>
        </w:sdtContent>
      </w:sdt>
      <w:r>
        <w:t xml:space="preserve"> defined machine unlearning as the process of removing specific training data and its influence from an already trained artificial intelligence model so that it behaves as if it never saw that data. Machine unlearning approaches can be divided into exact and approximate methods, depending on the extent to which this outcome can be achieved. </w:t>
      </w:r>
    </w:p>
    <w:p w14:paraId="621CA8B5" w14:textId="07918483" w:rsidR="006376C1" w:rsidRDefault="006376C1" w:rsidP="006376C1">
      <w:r>
        <w:t xml:space="preserve">Exact machine unlearning aims to completely remove the influence of the requested data so that the resulting model is equivalent to one trained without that data. The most direct way of achieving this is to remove the requested records and retrain the model from scratch using only the retained data, known as Full Retraining. This is a useful </w:t>
      </w:r>
      <w:r>
        <w:lastRenderedPageBreak/>
        <w:t>reference point when evaluating unlearning and should be the gold standard. However, as an unlearning approach, it may not be the most useful as retraining a model from scratch can be computationally expensive and time-consuming</w:t>
      </w:r>
      <w:r w:rsidR="00E139E2">
        <w:t xml:space="preserve">. </w:t>
      </w:r>
    </w:p>
    <w:p w14:paraId="1DF8A4A9" w14:textId="0C3E5C41" w:rsidR="00E139E2" w:rsidRPr="006376C1" w:rsidRDefault="00E139E2" w:rsidP="006376C1">
      <w:r>
        <w:t xml:space="preserve">This limitation motivated the development of approximate machine unlearning methods. </w:t>
      </w:r>
      <w:r w:rsidR="00A077FC">
        <w:t xml:space="preserve">These methods attempt to update an existing trained model so that the influence of the requested data is reduced or removed, to a level where it is indistinguishable from the original trained model. This can make unlearning more efficient but introduces a trade-off. The updated model should forget the requested data while continuing to preserve useful performance on the retained data, meaning both forgetting effectiveness and retained model utility must be considered when evaluating the method </w:t>
      </w:r>
      <w:sdt>
        <w:sdtPr>
          <w:id w:val="-166724117"/>
          <w:citation/>
        </w:sdtPr>
        <w:sdtContent>
          <w:r w:rsidR="00A077FC">
            <w:fldChar w:fldCharType="begin"/>
          </w:r>
          <w:r w:rsidR="00A077FC">
            <w:instrText xml:space="preserve"> CITATION Ngu \l 2057 </w:instrText>
          </w:r>
          <w:r w:rsidR="00A077FC">
            <w:fldChar w:fldCharType="separate"/>
          </w:r>
          <w:r w:rsidR="004038F0" w:rsidRPr="004038F0">
            <w:rPr>
              <w:noProof/>
            </w:rPr>
            <w:t>[5]</w:t>
          </w:r>
          <w:r w:rsidR="00A077FC">
            <w:fldChar w:fldCharType="end"/>
          </w:r>
        </w:sdtContent>
      </w:sdt>
      <w:r w:rsidR="00A077FC">
        <w:t>. Approximate unlearning is therefore not only concerned with whether data can be forgotten, but whether this can be achieved efficiently without causing unnecessary damage to the remaining model utility.</w:t>
      </w:r>
    </w:p>
    <w:p w14:paraId="2775F735" w14:textId="6A1387AA" w:rsidR="00807B03" w:rsidRDefault="00807B03" w:rsidP="00807B03">
      <w:pPr>
        <w:pStyle w:val="Heading2"/>
        <w:numPr>
          <w:ilvl w:val="1"/>
          <w:numId w:val="2"/>
        </w:numPr>
      </w:pPr>
      <w:r>
        <w:t>Machine Unlearning Methods</w:t>
      </w:r>
    </w:p>
    <w:p w14:paraId="21719467" w14:textId="7F2586BB" w:rsidR="00527264" w:rsidRDefault="00527264" w:rsidP="00527264">
      <w:r>
        <w:t xml:space="preserve">Alongside Full Retraining, other approaches have been investigated to achieve exact unlearning while reducing the amount of retraining required. One influential approach was proposed by </w:t>
      </w:r>
      <w:proofErr w:type="spellStart"/>
      <w:r>
        <w:t>Bourtoule</w:t>
      </w:r>
      <w:proofErr w:type="spellEnd"/>
      <w:r>
        <w:t xml:space="preserve"> et al. </w:t>
      </w:r>
      <w:sdt>
        <w:sdtPr>
          <w:id w:val="-1136635426"/>
          <w:citation/>
        </w:sdtPr>
        <w:sdtContent>
          <w:r>
            <w:fldChar w:fldCharType="begin"/>
          </w:r>
          <w:r>
            <w:instrText xml:space="preserve"> CITATION Bou20 \l 2057 </w:instrText>
          </w:r>
          <w:r>
            <w:fldChar w:fldCharType="separate"/>
          </w:r>
          <w:r w:rsidR="004038F0" w:rsidRPr="004038F0">
            <w:rPr>
              <w:noProof/>
            </w:rPr>
            <w:t>[6]</w:t>
          </w:r>
          <w:r>
            <w:fldChar w:fldCharType="end"/>
          </w:r>
        </w:sdtContent>
      </w:sdt>
      <w:r>
        <w:t xml:space="preserve">, who introduced SISA (Sharded, Isolated, Sliced, Aggregated) training. Instead of training a model using the entire training dataset at once, SISA divides the data into separate shards, with an independent model trained on each shard. These shards are divided into slices, which model states saved throughout training. When a deletion request is received, only the model associated </w:t>
      </w:r>
      <w:r w:rsidR="001A2E0D">
        <w:t xml:space="preserve">with the affected shard needs to be retrained and training can restart from the saved state before the data to be forgotten was ever introduced. The predictions from trained models are then aggregated to produce the final output, allowing for exact unlearning to occur while requiring considerably less retraining and rebuilding. </w:t>
      </w:r>
    </w:p>
    <w:p w14:paraId="2F902443" w14:textId="2EF35971" w:rsidR="001A2E0D" w:rsidRDefault="001A2E0D" w:rsidP="00527264">
      <w:r>
        <w:t xml:space="preserve">In addition to exact unlearning approaches, three approximate methods were considered within this project; Retain-Set Fine-Tuning, Gradient Ascent and Gradient Difference. </w:t>
      </w:r>
    </w:p>
    <w:p w14:paraId="4D42C7D4" w14:textId="6883177F" w:rsidR="001A2E0D" w:rsidRDefault="001A2E0D" w:rsidP="00527264">
      <w:r>
        <w:t xml:space="preserve">Retain-Set Fine-Tuning works by continuing to train the existing model using only the retained data, with the aim of </w:t>
      </w:r>
      <w:r w:rsidR="00CB6A06">
        <w:t xml:space="preserve">preserving model performance on the data that should remain after the deletion request. </w:t>
      </w:r>
    </w:p>
    <w:p w14:paraId="3311DD9A" w14:textId="2E114B3C" w:rsidR="00CB6A06" w:rsidRDefault="00CB6A06" w:rsidP="00527264">
      <w:r>
        <w:t>Gradient Ascent uses the forget set directly, reversing the usual optimisation objective to increase the model’s loss on the records that should be forgotten.</w:t>
      </w:r>
      <w:sdt>
        <w:sdtPr>
          <w:id w:val="2132665784"/>
          <w:citation/>
        </w:sdtPr>
        <w:sdtContent>
          <w:r>
            <w:fldChar w:fldCharType="begin"/>
          </w:r>
          <w:r>
            <w:instrText xml:space="preserve"> CITATION Mai24 \l 2057 </w:instrText>
          </w:r>
          <w:r>
            <w:fldChar w:fldCharType="separate"/>
          </w:r>
          <w:r w:rsidR="004038F0">
            <w:rPr>
              <w:noProof/>
            </w:rPr>
            <w:t xml:space="preserve"> </w:t>
          </w:r>
          <w:r w:rsidR="004038F0" w:rsidRPr="004038F0">
            <w:rPr>
              <w:noProof/>
            </w:rPr>
            <w:t>[7]</w:t>
          </w:r>
          <w:r>
            <w:fldChar w:fldCharType="end"/>
          </w:r>
        </w:sdtContent>
      </w:sdt>
    </w:p>
    <w:p w14:paraId="5ADF89E0" w14:textId="68CF10EA" w:rsidR="00CB6A06" w:rsidRDefault="00CB6A06" w:rsidP="00527264">
      <w:r>
        <w:t xml:space="preserve">Gradient Different combines these ideas by simultaneously increasing the loss on the forget set while continuing to increase the influence of the retain set, providing a more direct balance between forgetting and preserving model utility. </w:t>
      </w:r>
      <w:sdt>
        <w:sdtPr>
          <w:id w:val="-970600054"/>
          <w:citation/>
        </w:sdtPr>
        <w:sdtContent>
          <w:r w:rsidR="004038F0">
            <w:fldChar w:fldCharType="begin"/>
          </w:r>
          <w:r w:rsidR="004038F0">
            <w:instrText xml:space="preserve"> CITATION Mai24 \l 2057 </w:instrText>
          </w:r>
          <w:r w:rsidR="004038F0">
            <w:fldChar w:fldCharType="separate"/>
          </w:r>
          <w:r w:rsidR="004038F0" w:rsidRPr="004038F0">
            <w:rPr>
              <w:noProof/>
            </w:rPr>
            <w:t>[7]</w:t>
          </w:r>
          <w:r w:rsidR="004038F0">
            <w:fldChar w:fldCharType="end"/>
          </w:r>
        </w:sdtContent>
      </w:sdt>
    </w:p>
    <w:p w14:paraId="441A5583" w14:textId="6C97E4FA" w:rsidR="004038F0" w:rsidRPr="00527264" w:rsidRDefault="004038F0" w:rsidP="00527264">
      <w:r>
        <w:lastRenderedPageBreak/>
        <w:t xml:space="preserve">The </w:t>
      </w:r>
      <w:proofErr w:type="gramStart"/>
      <w:r>
        <w:t>gradient based</w:t>
      </w:r>
      <w:proofErr w:type="gramEnd"/>
      <w:r>
        <w:t xml:space="preserve"> methods have been widely considered within recent unlearning research, including evaluations using benchmarks such as </w:t>
      </w:r>
      <w:proofErr w:type="spellStart"/>
      <w:r>
        <w:t>ToFU</w:t>
      </w:r>
      <w:proofErr w:type="spellEnd"/>
      <w:r>
        <w:t xml:space="preserve"> and MUSE, where the ability to forget targeted information must be considered alongside the preservation of useful model behaviour. </w:t>
      </w:r>
      <w:sdt>
        <w:sdtPr>
          <w:id w:val="2018961339"/>
          <w:citation/>
        </w:sdtPr>
        <w:sdtContent>
          <w:r>
            <w:fldChar w:fldCharType="begin"/>
          </w:r>
          <w:r>
            <w:instrText xml:space="preserve"> CITATION Mai24 \l 2057 </w:instrText>
          </w:r>
          <w:r>
            <w:fldChar w:fldCharType="separate"/>
          </w:r>
          <w:r w:rsidRPr="004038F0">
            <w:rPr>
              <w:noProof/>
            </w:rPr>
            <w:t>[7]</w:t>
          </w:r>
          <w:r>
            <w:fldChar w:fldCharType="end"/>
          </w:r>
        </w:sdtContent>
      </w:sdt>
      <w:sdt>
        <w:sdtPr>
          <w:id w:val="1382982668"/>
          <w:citation/>
        </w:sdtPr>
        <w:sdtContent>
          <w:r>
            <w:fldChar w:fldCharType="begin"/>
          </w:r>
          <w:r>
            <w:instrText xml:space="preserve"> CITATION Shi24 \l 2057 </w:instrText>
          </w:r>
          <w:r>
            <w:fldChar w:fldCharType="separate"/>
          </w:r>
          <w:r>
            <w:rPr>
              <w:noProof/>
            </w:rPr>
            <w:t xml:space="preserve"> </w:t>
          </w:r>
          <w:r w:rsidRPr="004038F0">
            <w:rPr>
              <w:noProof/>
            </w:rPr>
            <w:t>[8]</w:t>
          </w:r>
          <w:r>
            <w:fldChar w:fldCharType="end"/>
          </w:r>
        </w:sdtContent>
      </w:sdt>
    </w:p>
    <w:p w14:paraId="6505DB2A" w14:textId="39E203FB" w:rsidR="00807B03" w:rsidRDefault="00807B03" w:rsidP="00807B03">
      <w:pPr>
        <w:pStyle w:val="Heading2"/>
        <w:numPr>
          <w:ilvl w:val="1"/>
          <w:numId w:val="2"/>
        </w:numPr>
      </w:pPr>
      <w:r>
        <w:t>Research Gap</w:t>
      </w:r>
    </w:p>
    <w:p w14:paraId="04348085" w14:textId="44EC8082" w:rsidR="004038F0" w:rsidRDefault="00964F1C" w:rsidP="004038F0">
      <w:r>
        <w:t xml:space="preserve">Existing research has proposed a wide range of exact and approximate machine unlearning methods, however the performance of an unlearning method can depend on the amount and characteristics of the data being removed. This is particularly relevant for batch deletion requests, where multiple records may need to be forgotten as the sane time. As </w:t>
      </w:r>
      <w:r w:rsidR="00307DE3">
        <w:t>the size of the forget set increases, it may become harder to preserve the utility of the data in the retain set while removing the influence of the forget set. It is therefore important to understand whether methods that perform well for smaller deletion requests remain effective as the forget set increases in size.</w:t>
      </w:r>
    </w:p>
    <w:p w14:paraId="7A26E426" w14:textId="6BAECACE" w:rsidR="00307DE3" w:rsidRDefault="00307DE3" w:rsidP="004038F0">
      <w:r>
        <w:t xml:space="preserve">The effectiveness of an unlearning method cannot be determined through forgetting alone - this </w:t>
      </w:r>
      <w:proofErr w:type="gramStart"/>
      <w:r>
        <w:t>in itself can</w:t>
      </w:r>
      <w:proofErr w:type="gramEnd"/>
      <w:r>
        <w:t xml:space="preserve"> be difficult to measure as there is no single measure that can </w:t>
      </w:r>
      <w:proofErr w:type="gramStart"/>
      <w:r>
        <w:t>definitely confirm</w:t>
      </w:r>
      <w:proofErr w:type="gramEnd"/>
      <w:r>
        <w:t xml:space="preserve"> that the influence of selected data has been removed. Evaluation must consider both forgetting effectiveness and retained model utility. Computational efficiency should also be considered to reinforce the need for approximate unlearning as it should avoid the cost of full retraining. This difficulty is reflected in MUSE, where Shi et al. </w:t>
      </w:r>
      <w:sdt>
        <w:sdtPr>
          <w:id w:val="580261012"/>
          <w:citation/>
        </w:sdtPr>
        <w:sdtContent>
          <w:r>
            <w:fldChar w:fldCharType="begin"/>
          </w:r>
          <w:r>
            <w:instrText xml:space="preserve"> CITATION Shi24 \l 2057 </w:instrText>
          </w:r>
          <w:r>
            <w:fldChar w:fldCharType="separate"/>
          </w:r>
          <w:r w:rsidRPr="00307DE3">
            <w:rPr>
              <w:noProof/>
            </w:rPr>
            <w:t>[8]</w:t>
          </w:r>
          <w:r>
            <w:fldChar w:fldCharType="end"/>
          </w:r>
        </w:sdtContent>
      </w:sdt>
      <w:r>
        <w:t xml:space="preserve"> argue that existing evaluations can provide an incomplete view of unlearning performance and propose evaluating unlearning across six different dimensions. </w:t>
      </w:r>
    </w:p>
    <w:p w14:paraId="47E6A251" w14:textId="5A77ACAE" w:rsidR="00307DE3" w:rsidRDefault="00307DE3" w:rsidP="004038F0">
      <w:r>
        <w:t xml:space="preserve">A similar approach is taken by Maini et al. </w:t>
      </w:r>
      <w:sdt>
        <w:sdtPr>
          <w:id w:val="-2081664001"/>
          <w:citation/>
        </w:sdtPr>
        <w:sdtContent>
          <w:r>
            <w:fldChar w:fldCharType="begin"/>
          </w:r>
          <w:r>
            <w:instrText xml:space="preserve"> CITATION Mai24 \l 2057 </w:instrText>
          </w:r>
          <w:r>
            <w:fldChar w:fldCharType="separate"/>
          </w:r>
          <w:r w:rsidRPr="00307DE3">
            <w:rPr>
              <w:noProof/>
            </w:rPr>
            <w:t>[7]</w:t>
          </w:r>
          <w:r>
            <w:fldChar w:fldCharType="end"/>
          </w:r>
        </w:sdtContent>
      </w:sdt>
      <w:r>
        <w:t xml:space="preserve"> in the </w:t>
      </w:r>
      <w:proofErr w:type="spellStart"/>
      <w:r>
        <w:t>ToFU</w:t>
      </w:r>
      <w:proofErr w:type="spellEnd"/>
      <w:r>
        <w:t xml:space="preserve"> benchmark, where unlearning is not evaluated using a single forgetting measure. Instead, the authors consider both the model’s behaviour on the forget set and its performance on the retained and unseen data. It also compared the unlearned model against one that has had Full Retraining, providing a gold-standard reference to compare results to. This approach influenced the evaluation methods used within this project which was then structured into three main areas</w:t>
      </w:r>
      <w:r w:rsidR="00BC1E36">
        <w:t>.</w:t>
      </w:r>
    </w:p>
    <w:p w14:paraId="799FEEDD" w14:textId="782F6110" w:rsidR="00BC1E36" w:rsidRDefault="00BC1E36" w:rsidP="00BC1E36">
      <w:pPr>
        <w:pStyle w:val="ListParagraph"/>
        <w:numPr>
          <w:ilvl w:val="0"/>
          <w:numId w:val="3"/>
        </w:numPr>
      </w:pPr>
      <w:r>
        <w:t>Forgetting effectiveness</w:t>
      </w:r>
    </w:p>
    <w:p w14:paraId="21D600A5" w14:textId="56DE8651" w:rsidR="007D4421" w:rsidRDefault="00BC1E36" w:rsidP="00BC1E36">
      <w:r>
        <w:t xml:space="preserve">This was assessed by comparing the Truth Ratio distributions from each unlearning method with those produced by Full Retraining. Inspired by the distribution-based evaluation used within </w:t>
      </w:r>
      <w:proofErr w:type="spellStart"/>
      <w:r>
        <w:t>ToFU</w:t>
      </w:r>
      <w:proofErr w:type="spellEnd"/>
      <w:r>
        <w:t xml:space="preserve"> </w:t>
      </w:r>
      <w:sdt>
        <w:sdtPr>
          <w:id w:val="1765884063"/>
          <w:citation/>
        </w:sdtPr>
        <w:sdtContent>
          <w:r>
            <w:fldChar w:fldCharType="begin"/>
          </w:r>
          <w:r>
            <w:instrText xml:space="preserve"> CITATION Mai24 \l 2057 </w:instrText>
          </w:r>
          <w:r>
            <w:fldChar w:fldCharType="separate"/>
          </w:r>
          <w:r w:rsidRPr="00BC1E36">
            <w:rPr>
              <w:noProof/>
            </w:rPr>
            <w:t>[7]</w:t>
          </w:r>
          <w:r>
            <w:fldChar w:fldCharType="end"/>
          </w:r>
        </w:sdtContent>
      </w:sdt>
      <w:r>
        <w:t>, a two-sample Kolmogorov-Smi</w:t>
      </w:r>
      <w:r w:rsidR="006E2817">
        <w:t>r</w:t>
      </w:r>
      <w:r>
        <w:t xml:space="preserve">nov (KS) test was used to quantify this comparison. </w:t>
      </w:r>
    </w:p>
    <w:p w14:paraId="36C30914" w14:textId="77777777" w:rsidR="007D4421" w:rsidRDefault="00BC1E36" w:rsidP="00BC1E36">
      <w:r>
        <w:t xml:space="preserve">The KS statistic </w:t>
      </w:r>
      <w:r w:rsidR="006E2817">
        <w:t>measures</w:t>
      </w:r>
      <w:r>
        <w:t xml:space="preserve"> </w:t>
      </w:r>
      <w:r w:rsidR="007D4421">
        <w:t>how different the two Truth Ratio distributions are. It is calculated as:</w:t>
      </w:r>
    </w:p>
    <w:p w14:paraId="6DEDB6CE" w14:textId="028155BE" w:rsidR="006E2817" w:rsidRPr="007D4421" w:rsidRDefault="006E2817" w:rsidP="00BC1E36">
      <m:oMathPara>
        <m:oMath>
          <m:r>
            <m:rPr>
              <m:sty m:val="p"/>
            </m:rPr>
            <w:rPr>
              <w:rFonts w:ascii="Cambria Math" w:hAnsi="Cambria Math"/>
            </w:rPr>
            <m:t>D=</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sup</m:t>
                  </m:r>
                </m:e>
                <m:lim>
                  <m:r>
                    <m:rPr>
                      <m:sty m:val="p"/>
                    </m:rPr>
                    <w:rPr>
                      <w:rFonts w:ascii="Cambria Math" w:hAnsi="Cambria Math"/>
                    </w:rPr>
                    <m:t>x</m:t>
                  </m:r>
                </m:lim>
              </m:limLow>
            </m:fName>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m:t>
                      </m:r>
                    </m:e>
                    <m:sub>
                      <m:r>
                        <m:rPr>
                          <m:sty m:val="p"/>
                        </m:rPr>
                        <w:rPr>
                          <w:rFonts w:ascii="Cambria Math" w:hAnsi="Cambria Math"/>
                        </w:rPr>
                        <m:t>A</m:t>
                      </m:r>
                    </m:sub>
                  </m:sSub>
                  <m:d>
                    <m:dPr>
                      <m:ctrlPr>
                        <w:rPr>
                          <w:rFonts w:ascii="Cambria Math" w:hAnsi="Cambria Math"/>
                        </w:rPr>
                      </m:ctrlPr>
                    </m:dPr>
                    <m:e>
                      <m:r>
                        <m:rPr>
                          <m:sty m:val="p"/>
                        </m:rP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R</m:t>
                      </m:r>
                    </m:sub>
                  </m:sSub>
                  <m:d>
                    <m:dPr>
                      <m:ctrlPr>
                        <w:rPr>
                          <w:rFonts w:ascii="Cambria Math" w:hAnsi="Cambria Math"/>
                        </w:rPr>
                      </m:ctrlPr>
                    </m:dPr>
                    <m:e>
                      <m:r>
                        <m:rPr>
                          <m:sty m:val="p"/>
                        </m:rPr>
                        <w:rPr>
                          <w:rFonts w:ascii="Cambria Math" w:hAnsi="Cambria Math"/>
                        </w:rPr>
                        <m:t>x</m:t>
                      </m:r>
                    </m:e>
                  </m:d>
                </m:e>
              </m:d>
              <m:ctrlPr>
                <w:rPr>
                  <w:rFonts w:ascii="Cambria Math" w:hAnsi="Cambria Math"/>
                  <w:i/>
                </w:rPr>
              </m:ctrlPr>
            </m:e>
          </m:func>
        </m:oMath>
      </m:oMathPara>
    </w:p>
    <w:p w14:paraId="78FAF112" w14:textId="7DC4BDD4" w:rsidR="000568FA" w:rsidRDefault="000568FA" w:rsidP="00BC1E36">
      <w:r>
        <w:lastRenderedPageBreak/>
        <w:t>Where:</w:t>
      </w:r>
    </w:p>
    <w:p w14:paraId="22A0A032" w14:textId="2EEED1A7" w:rsidR="000568FA" w:rsidRDefault="006E2817" w:rsidP="000568FA">
      <w:pPr>
        <w:pStyle w:val="ListParagraph"/>
        <w:numPr>
          <w:ilvl w:val="0"/>
          <w:numId w:val="4"/>
        </w:numPr>
      </w:pPr>
      <m:oMath>
        <m:sSub>
          <m:sSubPr>
            <m:ctrlPr>
              <w:rPr>
                <w:rFonts w:ascii="Cambria Math" w:hAnsi="Cambria Math"/>
                <w:i/>
              </w:rPr>
            </m:ctrlPr>
          </m:sSubPr>
          <m:e>
            <m:r>
              <w:rPr>
                <w:rFonts w:ascii="Cambria Math" w:hAnsi="Cambria Math"/>
              </w:rPr>
              <m:t>F</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 xml:space="preserve"> </m:t>
        </m:r>
      </m:oMath>
      <w:r w:rsidR="007D4421">
        <w:t>represents the Truth Ratio distribution from the approximate unlearning method</w:t>
      </w:r>
    </w:p>
    <w:p w14:paraId="58E760F5" w14:textId="680EB0A8" w:rsidR="000568FA" w:rsidRDefault="006E2817" w:rsidP="000568FA">
      <w:pPr>
        <w:pStyle w:val="ListParagraph"/>
        <w:numPr>
          <w:ilvl w:val="0"/>
          <w:numId w:val="4"/>
        </w:numPr>
      </w:pPr>
      <m:oMath>
        <m:sSub>
          <m:sSubPr>
            <m:ctrlPr>
              <w:rPr>
                <w:rFonts w:ascii="Cambria Math" w:hAnsi="Cambria Math"/>
                <w:i/>
              </w:rPr>
            </m:ctrlPr>
          </m:sSubPr>
          <m:e>
            <m:r>
              <w:rPr>
                <w:rFonts w:ascii="Cambria Math" w:hAnsi="Cambria Math"/>
              </w:rPr>
              <m:t>F</m:t>
            </m:r>
          </m:e>
          <m:sub>
            <m:r>
              <w:rPr>
                <w:rFonts w:ascii="Cambria Math" w:hAnsi="Cambria Math"/>
              </w:rPr>
              <m:t>R</m:t>
            </m:r>
          </m:sub>
        </m:sSub>
        <m:d>
          <m:dPr>
            <m:ctrlPr>
              <w:rPr>
                <w:rFonts w:ascii="Cambria Math" w:hAnsi="Cambria Math"/>
                <w:i/>
              </w:rPr>
            </m:ctrlPr>
          </m:dPr>
          <m:e>
            <m:r>
              <w:rPr>
                <w:rFonts w:ascii="Cambria Math" w:hAnsi="Cambria Math"/>
              </w:rPr>
              <m:t>x</m:t>
            </m:r>
          </m:e>
        </m:d>
      </m:oMath>
      <w:r w:rsidR="000568FA">
        <w:t xml:space="preserve"> </w:t>
      </w:r>
      <w:r w:rsidR="007D4421">
        <w:t>represents the distribution from Full Retraining</w:t>
      </w:r>
    </w:p>
    <w:p w14:paraId="0CC52566" w14:textId="462B235E" w:rsidR="000568FA" w:rsidRDefault="00312261" w:rsidP="000568FA">
      <w:pPr>
        <w:pStyle w:val="ListParagraph"/>
        <w:numPr>
          <w:ilvl w:val="0"/>
          <w:numId w:val="4"/>
        </w:numPr>
      </w:pPr>
      <m:oMath>
        <m:r>
          <w:rPr>
            <w:rFonts w:ascii="Cambria Math" w:hAnsi="Cambria Math"/>
          </w:rPr>
          <m:t>D</m:t>
        </m:r>
      </m:oMath>
      <w:r>
        <w:rPr>
          <w:rFonts w:eastAsiaTheme="minorEastAsia"/>
        </w:rPr>
        <w:t xml:space="preserve"> is the KS statistic, representing the largest difference between the two distributions</w:t>
      </w:r>
    </w:p>
    <w:p w14:paraId="3848533B" w14:textId="6710C8F6" w:rsidR="004A7D6E" w:rsidRDefault="004A7D6E" w:rsidP="004A7D6E">
      <w:r>
        <w:t>A KS statistic closer to 0 means that the approximate method behaves more similarly to Full retraining.</w:t>
      </w:r>
    </w:p>
    <w:p w14:paraId="66E6919F" w14:textId="3F0250B2" w:rsidR="004A7D6E" w:rsidRDefault="004A7D6E" w:rsidP="004A7D6E">
      <w:r>
        <w:t xml:space="preserve">The p-value provides additional information about whether the difference between the distributions is statistically significant. A low p-value suggests there is evidence that the two distributions are different, while a higher p-value means there is not enough evidence to conclude that they differ. </w:t>
      </w:r>
      <w:proofErr w:type="gramStart"/>
      <w:r>
        <w:t>However</w:t>
      </w:r>
      <w:proofErr w:type="gramEnd"/>
      <w:r>
        <w:t xml:space="preserve"> a high p-value does not prove that the distributions are the same, hence it being used alongside the KS statistic.</w:t>
      </w:r>
    </w:p>
    <w:p w14:paraId="46E9973E" w14:textId="77777777" w:rsidR="006E2817" w:rsidRDefault="006E2817" w:rsidP="006E2817">
      <w:pPr>
        <w:pStyle w:val="ListParagraph"/>
        <w:rPr>
          <w:rFonts w:eastAsiaTheme="minorEastAsia"/>
        </w:rPr>
      </w:pPr>
    </w:p>
    <w:p w14:paraId="6F4EE58F" w14:textId="3F8A4CE5" w:rsidR="00BC1E36" w:rsidRDefault="00BC1E36" w:rsidP="00BC1E36">
      <w:pPr>
        <w:pStyle w:val="ListParagraph"/>
        <w:numPr>
          <w:ilvl w:val="0"/>
          <w:numId w:val="3"/>
        </w:numPr>
      </w:pPr>
      <w:r>
        <w:t>Retained Model Utility</w:t>
      </w:r>
    </w:p>
    <w:p w14:paraId="2991FEBD" w14:textId="7F461225" w:rsidR="00312261" w:rsidRDefault="00312261" w:rsidP="00312261">
      <w:r>
        <w:t xml:space="preserve">This was assessed to determine whether the unlearned process negatively affected the </w:t>
      </w:r>
      <w:proofErr w:type="gramStart"/>
      <w:r>
        <w:t>models</w:t>
      </w:r>
      <w:proofErr w:type="gramEnd"/>
      <w:r>
        <w:t xml:space="preserve"> ability to make predictions on data that should remain. Successful unlearning should remove the influence of the forget set while preserving useful performance on the retained data. Several classification metrics were used:</w:t>
      </w:r>
    </w:p>
    <w:p w14:paraId="47371F1B" w14:textId="49D57530" w:rsidR="00312261" w:rsidRDefault="00312261" w:rsidP="00312261">
      <w:pPr>
        <w:pStyle w:val="ListParagraph"/>
        <w:numPr>
          <w:ilvl w:val="0"/>
          <w:numId w:val="4"/>
        </w:numPr>
      </w:pPr>
      <w:r>
        <w:t xml:space="preserve">PR-AUC: used to assess how well the model identified the positive class across different decision </w:t>
      </w:r>
      <w:r w:rsidR="00466E3B">
        <w:t>thresholds</w:t>
      </w:r>
      <w:r>
        <w:t>. Useful as classes were not evenly distributed</w:t>
      </w:r>
    </w:p>
    <w:p w14:paraId="57606E83" w14:textId="06E18447" w:rsidR="00312261" w:rsidRDefault="00466E3B" w:rsidP="00312261">
      <w:pPr>
        <w:pStyle w:val="ListParagraph"/>
        <w:numPr>
          <w:ilvl w:val="0"/>
          <w:numId w:val="4"/>
        </w:numPr>
      </w:pPr>
      <w:r>
        <w:t>Balanced</w:t>
      </w:r>
      <w:r w:rsidR="00312261">
        <w:t xml:space="preserve"> Accuracy: considered performance across both classes equally, preventing the bigger class from having too much influence</w:t>
      </w:r>
    </w:p>
    <w:p w14:paraId="7F403E12" w14:textId="1A1767CD" w:rsidR="00312261" w:rsidRDefault="00312261" w:rsidP="00312261">
      <w:pPr>
        <w:pStyle w:val="ListParagraph"/>
        <w:numPr>
          <w:ilvl w:val="0"/>
          <w:numId w:val="4"/>
        </w:numPr>
      </w:pPr>
      <w:r>
        <w:t>F1-score: balance between precision and recall</w:t>
      </w:r>
    </w:p>
    <w:p w14:paraId="08E7D295" w14:textId="6C7FFDED" w:rsidR="00312261" w:rsidRDefault="00312261" w:rsidP="00312261">
      <w:pPr>
        <w:pStyle w:val="ListParagraph"/>
        <w:numPr>
          <w:ilvl w:val="0"/>
          <w:numId w:val="4"/>
        </w:numPr>
      </w:pPr>
      <w:r>
        <w:t>AUROC: Measures model ability to distinguish be</w:t>
      </w:r>
      <w:r w:rsidR="00466E3B">
        <w:t>tween the two classes across different thresholds</w:t>
      </w:r>
    </w:p>
    <w:p w14:paraId="1C63E517" w14:textId="26D23473" w:rsidR="00466E3B" w:rsidRDefault="00466E3B" w:rsidP="00312261">
      <w:pPr>
        <w:pStyle w:val="ListParagraph"/>
        <w:numPr>
          <w:ilvl w:val="0"/>
          <w:numId w:val="4"/>
        </w:numPr>
      </w:pPr>
      <w:r>
        <w:t>Binary Cross-Entropy (BCE) loss: measures how closely the models predicted probabilities matched the true outcomes</w:t>
      </w:r>
    </w:p>
    <w:p w14:paraId="564F30F6" w14:textId="1DD0AC06" w:rsidR="00466E3B" w:rsidRDefault="00466E3B" w:rsidP="00312261">
      <w:pPr>
        <w:pStyle w:val="ListParagraph"/>
        <w:numPr>
          <w:ilvl w:val="0"/>
          <w:numId w:val="4"/>
        </w:numPr>
      </w:pPr>
      <w:r>
        <w:t>(make this a table instead)</w:t>
      </w:r>
    </w:p>
    <w:p w14:paraId="5FDBFF65" w14:textId="4CFB68F7" w:rsidR="00466E3B" w:rsidRDefault="00466E3B" w:rsidP="00466E3B">
      <w:r>
        <w:t xml:space="preserve">For these metrics, an approximate method that produces results close to Full Retraining indicates that useful model performance has been preserved following unlearning. </w:t>
      </w:r>
    </w:p>
    <w:p w14:paraId="2B502615" w14:textId="77777777" w:rsidR="007D4421" w:rsidRDefault="007D4421" w:rsidP="007D4421">
      <w:pPr>
        <w:pStyle w:val="ListParagraph"/>
      </w:pPr>
    </w:p>
    <w:p w14:paraId="737D91D6" w14:textId="5D5D6C4A" w:rsidR="00BC1E36" w:rsidRDefault="00BC1E36" w:rsidP="00BC1E36">
      <w:pPr>
        <w:pStyle w:val="ListParagraph"/>
        <w:numPr>
          <w:ilvl w:val="0"/>
          <w:numId w:val="3"/>
        </w:numPr>
      </w:pPr>
      <w:r>
        <w:t xml:space="preserve">Computational Efficiency </w:t>
      </w:r>
    </w:p>
    <w:p w14:paraId="2F20D07B" w14:textId="7C5B5870" w:rsidR="00466E3B" w:rsidRPr="004038F0" w:rsidRDefault="00466E3B" w:rsidP="00466E3B">
      <w:r>
        <w:t xml:space="preserve">Computational efficiency was assessed by comparing the time required to perform each approximate unlearning method with the time required for Full Retraining. One of the main motivations for approximate unlearning is to avoid the computational cost of Full Retraining for every deletion request. Therefore, an approximate method should </w:t>
      </w:r>
      <w:r>
        <w:lastRenderedPageBreak/>
        <w:t xml:space="preserve">ideally achieve effective forgetting and preserve model utility while requiring less computation than Full Retraining, </w:t>
      </w:r>
    </w:p>
    <w:p w14:paraId="2DC2C43E" w14:textId="302B71AA" w:rsidR="00807B03" w:rsidRDefault="00807B03" w:rsidP="00807B03">
      <w:pPr>
        <w:pStyle w:val="Heading1"/>
        <w:numPr>
          <w:ilvl w:val="0"/>
          <w:numId w:val="2"/>
        </w:numPr>
      </w:pPr>
      <w:r>
        <w:t>Project Lifecycle</w:t>
      </w:r>
    </w:p>
    <w:p w14:paraId="19B0CA24" w14:textId="52E22D36" w:rsidR="00807B03" w:rsidRDefault="00807B03" w:rsidP="00807B03">
      <w:pPr>
        <w:pStyle w:val="Heading2"/>
        <w:numPr>
          <w:ilvl w:val="1"/>
          <w:numId w:val="2"/>
        </w:numPr>
      </w:pPr>
      <w:r>
        <w:t>Project Definition and Research Questions</w:t>
      </w:r>
    </w:p>
    <w:p w14:paraId="0E2A7DF7" w14:textId="3B41F9F7" w:rsidR="00F625F7" w:rsidRDefault="00F625F7" w:rsidP="00F625F7">
      <w:r>
        <w:t xml:space="preserve">The project was defined as a comparative study of machine unlearning for tabular classification. The aim was not to develop a new unlearning algorithm, but instead to investigate how existing approximate methods perform when different amount and types of training data need to be removed. Multiple deletion scenarios were therefore used to create forgets sets of different sizes and characteristics, allowing the behaviour of the unlearning methods to be compared as the deletion requirement changed. </w:t>
      </w:r>
    </w:p>
    <w:p w14:paraId="6214C639" w14:textId="59E932D8" w:rsidR="00F625F7" w:rsidRDefault="00F625F7" w:rsidP="00F625F7">
      <w:r>
        <w:t xml:space="preserve">The goal was then to determine whether approximate unlearning could provide an alternative to Full Retraining across these deletion </w:t>
      </w:r>
      <w:r w:rsidR="00923EF4">
        <w:t>scenarios</w:t>
      </w:r>
      <w:r>
        <w:t xml:space="preserve">, with a comparison </w:t>
      </w:r>
      <w:r w:rsidR="00923EF4">
        <w:t>focusing</w:t>
      </w:r>
      <w:r>
        <w:t xml:space="preserve"> on the three are</w:t>
      </w:r>
      <w:r w:rsidR="00923EF4">
        <w:t>a</w:t>
      </w:r>
      <w:r>
        <w:t xml:space="preserve">s mentioned previously; forgetting effectiveness, retained model utility and </w:t>
      </w:r>
      <w:r w:rsidR="00923EF4">
        <w:t>computationally</w:t>
      </w:r>
      <w:r>
        <w:t xml:space="preserve"> efficiency. </w:t>
      </w:r>
    </w:p>
    <w:p w14:paraId="5E524CC9" w14:textId="3F9D26E4" w:rsidR="00F625F7" w:rsidRPr="00F625F7" w:rsidRDefault="00F625F7" w:rsidP="00F625F7">
      <w:r>
        <w:t>The project was guided by the following research question:</w:t>
      </w:r>
      <w:r>
        <w:br/>
        <w:t xml:space="preserve">RQ1: How do approximate machine unlearning methods compare with Full Retraining across deletion scenarios of different sizes and characteristic, in terms of forgetting effectiveness, retained model </w:t>
      </w:r>
      <w:proofErr w:type="spellStart"/>
      <w:r>
        <w:t>itlity</w:t>
      </w:r>
      <w:proofErr w:type="spellEnd"/>
      <w:r>
        <w:t xml:space="preserve"> and computational efficiency?</w:t>
      </w:r>
    </w:p>
    <w:p w14:paraId="0375A37E" w14:textId="0ADF2C90" w:rsidR="00807B03" w:rsidRDefault="00807B03" w:rsidP="00807B03">
      <w:pPr>
        <w:pStyle w:val="Heading2"/>
        <w:numPr>
          <w:ilvl w:val="1"/>
          <w:numId w:val="2"/>
        </w:numPr>
      </w:pPr>
      <w:r>
        <w:lastRenderedPageBreak/>
        <w:t>Initial Investigation and Adult Income Experiments</w:t>
      </w:r>
    </w:p>
    <w:p w14:paraId="75BCA38C" w14:textId="6C0150D0" w:rsidR="00807B03" w:rsidRDefault="00807B03" w:rsidP="00807B03">
      <w:pPr>
        <w:pStyle w:val="Heading2"/>
        <w:numPr>
          <w:ilvl w:val="1"/>
          <w:numId w:val="2"/>
        </w:numPr>
      </w:pPr>
      <w:r>
        <w:t>Development of the Synthetic Dataset Approach</w:t>
      </w:r>
    </w:p>
    <w:p w14:paraId="1B2B7013" w14:textId="08769A5B" w:rsidR="00807B03" w:rsidRDefault="00807B03" w:rsidP="00807B03">
      <w:pPr>
        <w:pStyle w:val="Heading2"/>
        <w:numPr>
          <w:ilvl w:val="1"/>
          <w:numId w:val="2"/>
        </w:numPr>
      </w:pPr>
      <w:r>
        <w:t>Final Experimental Pipeline</w:t>
      </w:r>
    </w:p>
    <w:p w14:paraId="4B8509A3" w14:textId="5EAB0503" w:rsidR="00807B03" w:rsidRDefault="00807B03" w:rsidP="00807B03">
      <w:pPr>
        <w:pStyle w:val="Heading2"/>
        <w:numPr>
          <w:ilvl w:val="1"/>
          <w:numId w:val="2"/>
        </w:numPr>
      </w:pPr>
      <w:r>
        <w:t>Selection and Development of Unlearning Methods</w:t>
      </w:r>
    </w:p>
    <w:p w14:paraId="53E669BA" w14:textId="4DD334E6" w:rsidR="00807B03" w:rsidRDefault="00807B03" w:rsidP="00807B03">
      <w:pPr>
        <w:pStyle w:val="Heading2"/>
        <w:numPr>
          <w:ilvl w:val="1"/>
          <w:numId w:val="2"/>
        </w:numPr>
      </w:pPr>
      <w:r>
        <w:t>Development of the LLM Component</w:t>
      </w:r>
    </w:p>
    <w:p w14:paraId="228D55F8" w14:textId="4D8D6FF2" w:rsidR="00807B03" w:rsidRDefault="00807B03" w:rsidP="00807B03">
      <w:pPr>
        <w:pStyle w:val="Heading2"/>
        <w:numPr>
          <w:ilvl w:val="1"/>
          <w:numId w:val="2"/>
        </w:numPr>
      </w:pPr>
      <w:r>
        <w:t>Final Experiment Workflow</w:t>
      </w:r>
    </w:p>
    <w:p w14:paraId="6E1E3075" w14:textId="4141E4C1" w:rsidR="00807B03" w:rsidRDefault="00807B03" w:rsidP="00807B03">
      <w:pPr>
        <w:pStyle w:val="Heading1"/>
        <w:numPr>
          <w:ilvl w:val="0"/>
          <w:numId w:val="2"/>
        </w:numPr>
      </w:pPr>
      <w:r>
        <w:t>Tools used to support Development</w:t>
      </w:r>
    </w:p>
    <w:p w14:paraId="6F619EAB" w14:textId="65D9B24A" w:rsidR="00807B03" w:rsidRDefault="00807B03" w:rsidP="00807B03">
      <w:pPr>
        <w:pStyle w:val="Heading2"/>
        <w:numPr>
          <w:ilvl w:val="1"/>
          <w:numId w:val="2"/>
        </w:numPr>
      </w:pPr>
      <w:r>
        <w:t>Python</w:t>
      </w:r>
    </w:p>
    <w:p w14:paraId="1075D5ED" w14:textId="7CA0A8BF" w:rsidR="00807B03" w:rsidRDefault="00807B03" w:rsidP="00807B03">
      <w:pPr>
        <w:pStyle w:val="Heading2"/>
        <w:numPr>
          <w:ilvl w:val="1"/>
          <w:numId w:val="2"/>
        </w:numPr>
      </w:pPr>
      <w:proofErr w:type="spellStart"/>
      <w:r>
        <w:t>PyTorch</w:t>
      </w:r>
      <w:proofErr w:type="spellEnd"/>
    </w:p>
    <w:p w14:paraId="19FA9889" w14:textId="7F38F09F" w:rsidR="00807B03" w:rsidRDefault="00807B03" w:rsidP="00807B03">
      <w:pPr>
        <w:pStyle w:val="Heading2"/>
        <w:numPr>
          <w:ilvl w:val="1"/>
          <w:numId w:val="2"/>
        </w:numPr>
      </w:pPr>
      <w:proofErr w:type="spellStart"/>
      <w:r>
        <w:t>Jupyter</w:t>
      </w:r>
      <w:proofErr w:type="spellEnd"/>
      <w:r>
        <w:t xml:space="preserve"> Notebooks</w:t>
      </w:r>
    </w:p>
    <w:p w14:paraId="1BA41AAD" w14:textId="07ECE279" w:rsidR="00807B03" w:rsidRDefault="00807B03" w:rsidP="00807B03">
      <w:pPr>
        <w:pStyle w:val="Heading2"/>
        <w:numPr>
          <w:ilvl w:val="1"/>
          <w:numId w:val="2"/>
        </w:numPr>
      </w:pPr>
      <w:r>
        <w:t>Data Processing and Evaluation Libraries</w:t>
      </w:r>
    </w:p>
    <w:p w14:paraId="6B1A97A3" w14:textId="5FC7CE12" w:rsidR="00807B03" w:rsidRDefault="00807B03" w:rsidP="00807B03">
      <w:pPr>
        <w:pStyle w:val="Heading2"/>
        <w:numPr>
          <w:ilvl w:val="1"/>
          <w:numId w:val="2"/>
        </w:numPr>
      </w:pPr>
      <w:r>
        <w:t>LLM/API Tools</w:t>
      </w:r>
    </w:p>
    <w:p w14:paraId="267A3AF7" w14:textId="2B61B00E" w:rsidR="00807B03" w:rsidRDefault="00807B03" w:rsidP="00807B03">
      <w:pPr>
        <w:pStyle w:val="Heading2"/>
        <w:numPr>
          <w:ilvl w:val="1"/>
          <w:numId w:val="2"/>
        </w:numPr>
      </w:pPr>
      <w:r>
        <w:t>Git and GitLab</w:t>
      </w:r>
    </w:p>
    <w:p w14:paraId="21EEF709" w14:textId="3F99A002" w:rsidR="00807B03" w:rsidRDefault="00807B03" w:rsidP="00807B03">
      <w:pPr>
        <w:pStyle w:val="Heading2"/>
        <w:numPr>
          <w:ilvl w:val="1"/>
          <w:numId w:val="2"/>
        </w:numPr>
      </w:pPr>
      <w:r>
        <w:t>Development Hardware and Environment</w:t>
      </w:r>
    </w:p>
    <w:p w14:paraId="3F0BD025" w14:textId="24C0C7DC" w:rsidR="00807B03" w:rsidRDefault="00807B03" w:rsidP="00807B03">
      <w:pPr>
        <w:pStyle w:val="Heading2"/>
        <w:numPr>
          <w:ilvl w:val="1"/>
          <w:numId w:val="2"/>
        </w:numPr>
      </w:pPr>
      <w:r>
        <w:t>Development Assistance</w:t>
      </w:r>
    </w:p>
    <w:p w14:paraId="2A979FCA" w14:textId="059B8A40" w:rsidR="00807B03" w:rsidRDefault="00807B03" w:rsidP="00807B03">
      <w:pPr>
        <w:pStyle w:val="Heading1"/>
        <w:numPr>
          <w:ilvl w:val="0"/>
          <w:numId w:val="2"/>
        </w:numPr>
      </w:pPr>
      <w:r>
        <w:t>Critical Appraisal</w:t>
      </w:r>
    </w:p>
    <w:p w14:paraId="51EFA2DF" w14:textId="31560362" w:rsidR="00807B03" w:rsidRDefault="00807B03" w:rsidP="00807B03">
      <w:pPr>
        <w:pStyle w:val="Heading2"/>
        <w:numPr>
          <w:ilvl w:val="1"/>
          <w:numId w:val="2"/>
        </w:numPr>
      </w:pPr>
      <w:r>
        <w:t xml:space="preserve">Rationale for Major </w:t>
      </w:r>
      <w:proofErr w:type="spellStart"/>
      <w:r>
        <w:t>Deisgn</w:t>
      </w:r>
      <w:proofErr w:type="spellEnd"/>
      <w:r>
        <w:t xml:space="preserve"> Decisions</w:t>
      </w:r>
    </w:p>
    <w:p w14:paraId="6947D1B5" w14:textId="2B767CB3" w:rsidR="00807B03" w:rsidRDefault="00807B03" w:rsidP="00807B03">
      <w:pPr>
        <w:pStyle w:val="Heading2"/>
        <w:numPr>
          <w:ilvl w:val="1"/>
          <w:numId w:val="2"/>
        </w:numPr>
      </w:pPr>
      <w:r>
        <w:t>What Worked Well</w:t>
      </w:r>
    </w:p>
    <w:p w14:paraId="08342FB7" w14:textId="4BD22B27" w:rsidR="00807B03" w:rsidRDefault="00807B03" w:rsidP="00807B03">
      <w:pPr>
        <w:pStyle w:val="Heading2"/>
        <w:numPr>
          <w:ilvl w:val="1"/>
          <w:numId w:val="2"/>
        </w:numPr>
      </w:pPr>
      <w:r>
        <w:t>What Did Not Work as Expected</w:t>
      </w:r>
    </w:p>
    <w:p w14:paraId="79D2A1AF" w14:textId="39FD0679" w:rsidR="00807B03" w:rsidRDefault="00807B03" w:rsidP="00807B03">
      <w:pPr>
        <w:pStyle w:val="Heading2"/>
        <w:numPr>
          <w:ilvl w:val="1"/>
          <w:numId w:val="2"/>
        </w:numPr>
      </w:pPr>
      <w:r>
        <w:t>Limitations</w:t>
      </w:r>
    </w:p>
    <w:p w14:paraId="6F6C217A" w14:textId="2B2B8830" w:rsidR="00807B03" w:rsidRDefault="00807B03" w:rsidP="00807B03">
      <w:pPr>
        <w:pStyle w:val="Heading2"/>
        <w:numPr>
          <w:ilvl w:val="1"/>
          <w:numId w:val="2"/>
        </w:numPr>
      </w:pPr>
      <w:r>
        <w:t>Lessons Learned</w:t>
      </w:r>
    </w:p>
    <w:p w14:paraId="47DB94D0" w14:textId="4982A3C6" w:rsidR="00807B03" w:rsidRDefault="00807B03" w:rsidP="00807B03">
      <w:pPr>
        <w:pStyle w:val="Heading2"/>
        <w:numPr>
          <w:ilvl w:val="1"/>
          <w:numId w:val="2"/>
        </w:numPr>
      </w:pPr>
      <w:r>
        <w:t xml:space="preserve">What I Would Change </w:t>
      </w:r>
      <w:proofErr w:type="gramStart"/>
      <w:r>
        <w:t>With</w:t>
      </w:r>
      <w:proofErr w:type="gramEnd"/>
      <w:r>
        <w:t xml:space="preserve"> Hindsight</w:t>
      </w:r>
    </w:p>
    <w:p w14:paraId="1F7DFDE1" w14:textId="460F14DA" w:rsidR="00807B03" w:rsidRDefault="00807B03" w:rsidP="00807B03">
      <w:pPr>
        <w:pStyle w:val="Heading2"/>
        <w:numPr>
          <w:ilvl w:val="1"/>
          <w:numId w:val="2"/>
        </w:numPr>
      </w:pPr>
      <w:r>
        <w:lastRenderedPageBreak/>
        <w:t>Future Extensions</w:t>
      </w:r>
    </w:p>
    <w:p w14:paraId="07924A73" w14:textId="60AA741B" w:rsidR="00807B03" w:rsidRDefault="00807B03" w:rsidP="00807B03">
      <w:pPr>
        <w:pStyle w:val="Heading2"/>
        <w:numPr>
          <w:ilvl w:val="1"/>
          <w:numId w:val="2"/>
        </w:numPr>
      </w:pPr>
      <w:r>
        <w:t>Overall Critical Assessment</w:t>
      </w:r>
    </w:p>
    <w:p w14:paraId="7B590AF1" w14:textId="7D8DCF74" w:rsidR="004359E1" w:rsidRDefault="004359E1" w:rsidP="004359E1">
      <w:pPr>
        <w:pStyle w:val="Heading1"/>
        <w:numPr>
          <w:ilvl w:val="0"/>
          <w:numId w:val="2"/>
        </w:numPr>
      </w:pPr>
      <w:r>
        <w:t>References</w:t>
      </w:r>
    </w:p>
    <w:sdt>
      <w:sdtPr>
        <w:id w:val="-1007826767"/>
        <w:docPartObj>
          <w:docPartGallery w:val="Bibliographies"/>
          <w:docPartUnique/>
        </w:docPartObj>
      </w:sdtPr>
      <w:sdtEndPr>
        <w:rPr>
          <w:rFonts w:asciiTheme="minorHAnsi" w:eastAsiaTheme="minorHAnsi" w:hAnsiTheme="minorHAnsi" w:cstheme="minorBidi"/>
          <w:color w:val="auto"/>
          <w:sz w:val="24"/>
          <w:szCs w:val="24"/>
        </w:rPr>
      </w:sdtEndPr>
      <w:sdtContent>
        <w:p w14:paraId="0F140765" w14:textId="7923C727" w:rsidR="00A76255" w:rsidRDefault="00A76255">
          <w:pPr>
            <w:pStyle w:val="Heading1"/>
          </w:pPr>
          <w:r>
            <w:t>References</w:t>
          </w:r>
        </w:p>
        <w:sdt>
          <w:sdtPr>
            <w:id w:val="111145805"/>
            <w:bibliography/>
          </w:sdtPr>
          <w:sdtContent>
            <w:p w14:paraId="59392163" w14:textId="77777777" w:rsidR="004038F0" w:rsidRDefault="00A76255">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8681"/>
              </w:tblGrid>
              <w:tr w:rsidR="004038F0" w14:paraId="6DAE72CA" w14:textId="77777777">
                <w:trPr>
                  <w:divId w:val="1509445869"/>
                  <w:tblCellSpacing w:w="15" w:type="dxa"/>
                </w:trPr>
                <w:tc>
                  <w:tcPr>
                    <w:tcW w:w="50" w:type="pct"/>
                    <w:hideMark/>
                  </w:tcPr>
                  <w:p w14:paraId="2AA674FD" w14:textId="1ADADC10" w:rsidR="004038F0" w:rsidRDefault="004038F0">
                    <w:pPr>
                      <w:pStyle w:val="Bibliography"/>
                      <w:rPr>
                        <w:noProof/>
                        <w:kern w:val="0"/>
                        <w14:ligatures w14:val="none"/>
                      </w:rPr>
                    </w:pPr>
                    <w:r>
                      <w:rPr>
                        <w:noProof/>
                      </w:rPr>
                      <w:t xml:space="preserve">[1] </w:t>
                    </w:r>
                  </w:p>
                </w:tc>
                <w:tc>
                  <w:tcPr>
                    <w:tcW w:w="0" w:type="auto"/>
                    <w:hideMark/>
                  </w:tcPr>
                  <w:p w14:paraId="4EE2CBBA" w14:textId="77777777" w:rsidR="004038F0" w:rsidRDefault="004038F0">
                    <w:pPr>
                      <w:pStyle w:val="Bibliography"/>
                      <w:rPr>
                        <w:noProof/>
                      </w:rPr>
                    </w:pPr>
                    <w:r>
                      <w:rPr>
                        <w:noProof/>
                      </w:rPr>
                      <w:t>D. Zhang, P. Finckenberg-Broman, T. Hoang, S. Pan, Z. Xing, M. Staples and X. Xu, “Right to be Forgotten in the Era of Large Language Models: Implications, Challenges, and Solutions,” 2023.</w:t>
                    </w:r>
                  </w:p>
                </w:tc>
              </w:tr>
              <w:tr w:rsidR="004038F0" w14:paraId="7BD9FE50" w14:textId="77777777">
                <w:trPr>
                  <w:divId w:val="1509445869"/>
                  <w:tblCellSpacing w:w="15" w:type="dxa"/>
                </w:trPr>
                <w:tc>
                  <w:tcPr>
                    <w:tcW w:w="50" w:type="pct"/>
                    <w:hideMark/>
                  </w:tcPr>
                  <w:p w14:paraId="58768F84" w14:textId="77777777" w:rsidR="004038F0" w:rsidRDefault="004038F0">
                    <w:pPr>
                      <w:pStyle w:val="Bibliography"/>
                      <w:rPr>
                        <w:noProof/>
                      </w:rPr>
                    </w:pPr>
                    <w:r>
                      <w:rPr>
                        <w:noProof/>
                      </w:rPr>
                      <w:t xml:space="preserve">[2] </w:t>
                    </w:r>
                  </w:p>
                </w:tc>
                <w:tc>
                  <w:tcPr>
                    <w:tcW w:w="0" w:type="auto"/>
                    <w:hideMark/>
                  </w:tcPr>
                  <w:p w14:paraId="576C9697" w14:textId="77777777" w:rsidR="004038F0" w:rsidRDefault="004038F0">
                    <w:pPr>
                      <w:pStyle w:val="Bibliography"/>
                      <w:rPr>
                        <w:noProof/>
                      </w:rPr>
                    </w:pPr>
                    <w:r>
                      <w:rPr>
                        <w:i/>
                        <w:iCs/>
                        <w:noProof/>
                      </w:rPr>
                      <w:t xml:space="preserve">Google Spain SL and Google Inc. v Agencia Española de Protección de Datos (AEPD) and Mario Costeja González, </w:t>
                    </w:r>
                    <w:r>
                      <w:rPr>
                        <w:noProof/>
                      </w:rPr>
                      <w:t>2014.</w:t>
                    </w:r>
                  </w:p>
                </w:tc>
              </w:tr>
              <w:tr w:rsidR="004038F0" w14:paraId="55CE863B" w14:textId="77777777">
                <w:trPr>
                  <w:divId w:val="1509445869"/>
                  <w:tblCellSpacing w:w="15" w:type="dxa"/>
                </w:trPr>
                <w:tc>
                  <w:tcPr>
                    <w:tcW w:w="50" w:type="pct"/>
                    <w:hideMark/>
                  </w:tcPr>
                  <w:p w14:paraId="74FE2CA2" w14:textId="77777777" w:rsidR="004038F0" w:rsidRDefault="004038F0">
                    <w:pPr>
                      <w:pStyle w:val="Bibliography"/>
                      <w:rPr>
                        <w:noProof/>
                      </w:rPr>
                    </w:pPr>
                    <w:r>
                      <w:rPr>
                        <w:noProof/>
                      </w:rPr>
                      <w:t xml:space="preserve">[3] </w:t>
                    </w:r>
                  </w:p>
                </w:tc>
                <w:tc>
                  <w:tcPr>
                    <w:tcW w:w="0" w:type="auto"/>
                    <w:hideMark/>
                  </w:tcPr>
                  <w:p w14:paraId="56034081" w14:textId="77777777" w:rsidR="004038F0" w:rsidRDefault="004038F0">
                    <w:pPr>
                      <w:pStyle w:val="Bibliography"/>
                      <w:rPr>
                        <w:noProof/>
                      </w:rPr>
                    </w:pPr>
                    <w:r>
                      <w:rPr>
                        <w:noProof/>
                      </w:rPr>
                      <w:t>European Parliament and Council of the European Union, “Regulation (EU) 2016/679, Article 17 – Right to erasure (‘right to be forgotten’),” 27 April 2016. [Online]. Available: https://eur-lex.europa.eu/eli/reg/2016/679/art_17/oj?utm_source=chatgpt.com. [Accessed 26 08 2026].</w:t>
                    </w:r>
                  </w:p>
                </w:tc>
              </w:tr>
              <w:tr w:rsidR="004038F0" w14:paraId="03A864DD" w14:textId="77777777">
                <w:trPr>
                  <w:divId w:val="1509445869"/>
                  <w:tblCellSpacing w:w="15" w:type="dxa"/>
                </w:trPr>
                <w:tc>
                  <w:tcPr>
                    <w:tcW w:w="50" w:type="pct"/>
                    <w:hideMark/>
                  </w:tcPr>
                  <w:p w14:paraId="6F005874" w14:textId="77777777" w:rsidR="004038F0" w:rsidRDefault="004038F0">
                    <w:pPr>
                      <w:pStyle w:val="Bibliography"/>
                      <w:rPr>
                        <w:noProof/>
                      </w:rPr>
                    </w:pPr>
                    <w:r>
                      <w:rPr>
                        <w:noProof/>
                      </w:rPr>
                      <w:t xml:space="preserve">[4] </w:t>
                    </w:r>
                  </w:p>
                </w:tc>
                <w:tc>
                  <w:tcPr>
                    <w:tcW w:w="0" w:type="auto"/>
                    <w:hideMark/>
                  </w:tcPr>
                  <w:p w14:paraId="7B4E3DDE" w14:textId="77777777" w:rsidR="004038F0" w:rsidRDefault="004038F0">
                    <w:pPr>
                      <w:pStyle w:val="Bibliography"/>
                      <w:rPr>
                        <w:noProof/>
                      </w:rPr>
                    </w:pPr>
                    <w:r>
                      <w:rPr>
                        <w:noProof/>
                      </w:rPr>
                      <w:t>J. Xu, Z. Wu, C. Wang and X. Jia, “Machine Unlearning: Solutions and Challenges,” 2024.</w:t>
                    </w:r>
                  </w:p>
                </w:tc>
              </w:tr>
              <w:tr w:rsidR="004038F0" w14:paraId="2378826B" w14:textId="77777777">
                <w:trPr>
                  <w:divId w:val="1509445869"/>
                  <w:tblCellSpacing w:w="15" w:type="dxa"/>
                </w:trPr>
                <w:tc>
                  <w:tcPr>
                    <w:tcW w:w="50" w:type="pct"/>
                    <w:hideMark/>
                  </w:tcPr>
                  <w:p w14:paraId="6E322575" w14:textId="77777777" w:rsidR="004038F0" w:rsidRDefault="004038F0">
                    <w:pPr>
                      <w:pStyle w:val="Bibliography"/>
                      <w:rPr>
                        <w:noProof/>
                      </w:rPr>
                    </w:pPr>
                    <w:r>
                      <w:rPr>
                        <w:noProof/>
                      </w:rPr>
                      <w:t xml:space="preserve">[5] </w:t>
                    </w:r>
                  </w:p>
                </w:tc>
                <w:tc>
                  <w:tcPr>
                    <w:tcW w:w="0" w:type="auto"/>
                    <w:hideMark/>
                  </w:tcPr>
                  <w:p w14:paraId="14D3FC08" w14:textId="77777777" w:rsidR="004038F0" w:rsidRDefault="004038F0">
                    <w:pPr>
                      <w:pStyle w:val="Bibliography"/>
                      <w:rPr>
                        <w:noProof/>
                      </w:rPr>
                    </w:pPr>
                    <w:r>
                      <w:rPr>
                        <w:noProof/>
                      </w:rPr>
                      <w:t>T. T. Nguyen, T. T. Huynh, Z. Ren, P. L. Nguyen, A. W.-C. Liew, H. Yin and Q. V. H. Nguyen, “A Survey of Machine Unlearning,” 2024.</w:t>
                    </w:r>
                  </w:p>
                </w:tc>
              </w:tr>
              <w:tr w:rsidR="004038F0" w14:paraId="417512E8" w14:textId="77777777">
                <w:trPr>
                  <w:divId w:val="1509445869"/>
                  <w:tblCellSpacing w:w="15" w:type="dxa"/>
                </w:trPr>
                <w:tc>
                  <w:tcPr>
                    <w:tcW w:w="50" w:type="pct"/>
                    <w:hideMark/>
                  </w:tcPr>
                  <w:p w14:paraId="61300F99" w14:textId="77777777" w:rsidR="004038F0" w:rsidRDefault="004038F0">
                    <w:pPr>
                      <w:pStyle w:val="Bibliography"/>
                      <w:rPr>
                        <w:noProof/>
                      </w:rPr>
                    </w:pPr>
                    <w:r>
                      <w:rPr>
                        <w:noProof/>
                      </w:rPr>
                      <w:t xml:space="preserve">[6] </w:t>
                    </w:r>
                  </w:p>
                </w:tc>
                <w:tc>
                  <w:tcPr>
                    <w:tcW w:w="0" w:type="auto"/>
                    <w:hideMark/>
                  </w:tcPr>
                  <w:p w14:paraId="0BD33A6D" w14:textId="77777777" w:rsidR="004038F0" w:rsidRDefault="004038F0">
                    <w:pPr>
                      <w:pStyle w:val="Bibliography"/>
                      <w:rPr>
                        <w:noProof/>
                      </w:rPr>
                    </w:pPr>
                    <w:r>
                      <w:rPr>
                        <w:noProof/>
                      </w:rPr>
                      <w:t>L. Bourtoule, V. Chandrasekaran, C. A. Choquette-Choo, H. Jia, A. Travers, B. Zhang, D. Lie and N. Papernot, “Machine Unlearning,” 2020.</w:t>
                    </w:r>
                  </w:p>
                </w:tc>
              </w:tr>
              <w:tr w:rsidR="004038F0" w14:paraId="67C874DE" w14:textId="77777777">
                <w:trPr>
                  <w:divId w:val="1509445869"/>
                  <w:tblCellSpacing w:w="15" w:type="dxa"/>
                </w:trPr>
                <w:tc>
                  <w:tcPr>
                    <w:tcW w:w="50" w:type="pct"/>
                    <w:hideMark/>
                  </w:tcPr>
                  <w:p w14:paraId="436327AC" w14:textId="77777777" w:rsidR="004038F0" w:rsidRDefault="004038F0">
                    <w:pPr>
                      <w:pStyle w:val="Bibliography"/>
                      <w:rPr>
                        <w:noProof/>
                      </w:rPr>
                    </w:pPr>
                    <w:r>
                      <w:rPr>
                        <w:noProof/>
                      </w:rPr>
                      <w:t xml:space="preserve">[7] </w:t>
                    </w:r>
                  </w:p>
                </w:tc>
                <w:tc>
                  <w:tcPr>
                    <w:tcW w:w="0" w:type="auto"/>
                    <w:hideMark/>
                  </w:tcPr>
                  <w:p w14:paraId="4DF5BFB6" w14:textId="77777777" w:rsidR="004038F0" w:rsidRDefault="004038F0">
                    <w:pPr>
                      <w:pStyle w:val="Bibliography"/>
                      <w:rPr>
                        <w:noProof/>
                      </w:rPr>
                    </w:pPr>
                    <w:r>
                      <w:rPr>
                        <w:noProof/>
                      </w:rPr>
                      <w:t>P. Maini, Z. Feng, Z. C. Lipton, J. Z. Kolter and A. Schwarzschild, “TOFU: A Task of Fictitious Unlearning for LLMs,” 2024.</w:t>
                    </w:r>
                  </w:p>
                </w:tc>
              </w:tr>
              <w:tr w:rsidR="004038F0" w14:paraId="034B4C45" w14:textId="77777777">
                <w:trPr>
                  <w:divId w:val="1509445869"/>
                  <w:tblCellSpacing w:w="15" w:type="dxa"/>
                </w:trPr>
                <w:tc>
                  <w:tcPr>
                    <w:tcW w:w="50" w:type="pct"/>
                    <w:hideMark/>
                  </w:tcPr>
                  <w:p w14:paraId="10385AFE" w14:textId="77777777" w:rsidR="004038F0" w:rsidRDefault="004038F0">
                    <w:pPr>
                      <w:pStyle w:val="Bibliography"/>
                      <w:rPr>
                        <w:noProof/>
                      </w:rPr>
                    </w:pPr>
                    <w:r>
                      <w:rPr>
                        <w:noProof/>
                      </w:rPr>
                      <w:t xml:space="preserve">[8] </w:t>
                    </w:r>
                  </w:p>
                </w:tc>
                <w:tc>
                  <w:tcPr>
                    <w:tcW w:w="0" w:type="auto"/>
                    <w:hideMark/>
                  </w:tcPr>
                  <w:p w14:paraId="5D077CCA" w14:textId="77777777" w:rsidR="004038F0" w:rsidRDefault="004038F0">
                    <w:pPr>
                      <w:pStyle w:val="Bibliography"/>
                      <w:rPr>
                        <w:noProof/>
                      </w:rPr>
                    </w:pPr>
                    <w:r>
                      <w:rPr>
                        <w:noProof/>
                      </w:rPr>
                      <w:t>W. Shi, J. Lee, Y. Huang, S. Malladi, J. Zhao, A. Holtzman, D. Liu, L. Zettlemoyer, N. A. Smith and C. Zhang, “MUSE: Machine Unlearning Six-Way Evaluation for Language Models,” 2024.</w:t>
                    </w:r>
                  </w:p>
                </w:tc>
              </w:tr>
            </w:tbl>
            <w:p w14:paraId="7AB9A258" w14:textId="77777777" w:rsidR="004038F0" w:rsidRDefault="004038F0">
              <w:pPr>
                <w:divId w:val="1509445869"/>
                <w:rPr>
                  <w:rFonts w:eastAsia="Times New Roman"/>
                  <w:noProof/>
                </w:rPr>
              </w:pPr>
            </w:p>
            <w:p w14:paraId="0E6C64EB" w14:textId="527DADAE" w:rsidR="00A76255" w:rsidRDefault="00A76255">
              <w:r>
                <w:rPr>
                  <w:b/>
                  <w:bCs/>
                  <w:noProof/>
                </w:rPr>
                <w:fldChar w:fldCharType="end"/>
              </w:r>
            </w:p>
          </w:sdtContent>
        </w:sdt>
      </w:sdtContent>
    </w:sdt>
    <w:p w14:paraId="5F1BC4EF" w14:textId="77777777" w:rsidR="00A76255" w:rsidRPr="00A76255" w:rsidRDefault="00A76255" w:rsidP="00A76255"/>
    <w:p w14:paraId="3066D0DF" w14:textId="77777777" w:rsidR="004359E1" w:rsidRPr="004359E1" w:rsidRDefault="004359E1" w:rsidP="004359E1"/>
    <w:sectPr w:rsidR="004359E1" w:rsidRPr="004359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06E15" w14:textId="77777777" w:rsidR="00DD1917" w:rsidRDefault="00DD1917" w:rsidP="00466E3B">
      <w:pPr>
        <w:spacing w:after="0" w:line="240" w:lineRule="auto"/>
      </w:pPr>
      <w:r>
        <w:separator/>
      </w:r>
    </w:p>
  </w:endnote>
  <w:endnote w:type="continuationSeparator" w:id="0">
    <w:p w14:paraId="7693D9C2" w14:textId="77777777" w:rsidR="00DD1917" w:rsidRDefault="00DD1917" w:rsidP="00466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157FA" w14:textId="77777777" w:rsidR="00DD1917" w:rsidRDefault="00DD1917" w:rsidP="00466E3B">
      <w:pPr>
        <w:spacing w:after="0" w:line="240" w:lineRule="auto"/>
      </w:pPr>
      <w:r>
        <w:separator/>
      </w:r>
    </w:p>
  </w:footnote>
  <w:footnote w:type="continuationSeparator" w:id="0">
    <w:p w14:paraId="16954E28" w14:textId="77777777" w:rsidR="00DD1917" w:rsidRDefault="00DD1917" w:rsidP="00466E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E03"/>
    <w:multiLevelType w:val="hybridMultilevel"/>
    <w:tmpl w:val="FFFACA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C532530"/>
    <w:multiLevelType w:val="hybridMultilevel"/>
    <w:tmpl w:val="CEF2CEE4"/>
    <w:lvl w:ilvl="0" w:tplc="E3CEE74C">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06012D"/>
    <w:multiLevelType w:val="multilevel"/>
    <w:tmpl w:val="0D2A6F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68DE6B3A"/>
    <w:multiLevelType w:val="multilevel"/>
    <w:tmpl w:val="94529B9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271013031">
    <w:abstractNumId w:val="3"/>
  </w:num>
  <w:num w:numId="2" w16cid:durableId="2135100253">
    <w:abstractNumId w:val="2"/>
  </w:num>
  <w:num w:numId="3" w16cid:durableId="1333683533">
    <w:abstractNumId w:val="0"/>
  </w:num>
  <w:num w:numId="4" w16cid:durableId="270358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B03"/>
    <w:rsid w:val="000568FA"/>
    <w:rsid w:val="00071EDF"/>
    <w:rsid w:val="001A2E0D"/>
    <w:rsid w:val="00297ED5"/>
    <w:rsid w:val="00307DE3"/>
    <w:rsid w:val="00312261"/>
    <w:rsid w:val="003934B9"/>
    <w:rsid w:val="004038F0"/>
    <w:rsid w:val="004359E1"/>
    <w:rsid w:val="00466E3B"/>
    <w:rsid w:val="004A7D6E"/>
    <w:rsid w:val="00527264"/>
    <w:rsid w:val="005332DA"/>
    <w:rsid w:val="00607FC2"/>
    <w:rsid w:val="006376C1"/>
    <w:rsid w:val="006E2817"/>
    <w:rsid w:val="007D4421"/>
    <w:rsid w:val="008011A9"/>
    <w:rsid w:val="00807B03"/>
    <w:rsid w:val="00881992"/>
    <w:rsid w:val="00923EF4"/>
    <w:rsid w:val="00964F1C"/>
    <w:rsid w:val="00A077FC"/>
    <w:rsid w:val="00A76255"/>
    <w:rsid w:val="00B52C9A"/>
    <w:rsid w:val="00BC1E36"/>
    <w:rsid w:val="00CB6A06"/>
    <w:rsid w:val="00DD1917"/>
    <w:rsid w:val="00E056F0"/>
    <w:rsid w:val="00E139E2"/>
    <w:rsid w:val="00E5468B"/>
    <w:rsid w:val="00F625F7"/>
    <w:rsid w:val="00F771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8A13F58"/>
  <w15:chartTrackingRefBased/>
  <w15:docId w15:val="{479B76BA-7D65-1342-9696-BF0D9A61C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7B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B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B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B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B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7B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B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B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B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B03"/>
    <w:rPr>
      <w:rFonts w:eastAsiaTheme="majorEastAsia" w:cstheme="majorBidi"/>
      <w:color w:val="272727" w:themeColor="text1" w:themeTint="D8"/>
    </w:rPr>
  </w:style>
  <w:style w:type="paragraph" w:styleId="Title">
    <w:name w:val="Title"/>
    <w:basedOn w:val="Normal"/>
    <w:next w:val="Normal"/>
    <w:link w:val="TitleChar"/>
    <w:uiPriority w:val="10"/>
    <w:qFormat/>
    <w:rsid w:val="00807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B03"/>
    <w:pPr>
      <w:spacing w:before="160"/>
      <w:jc w:val="center"/>
    </w:pPr>
    <w:rPr>
      <w:i/>
      <w:iCs/>
      <w:color w:val="404040" w:themeColor="text1" w:themeTint="BF"/>
    </w:rPr>
  </w:style>
  <w:style w:type="character" w:customStyle="1" w:styleId="QuoteChar">
    <w:name w:val="Quote Char"/>
    <w:basedOn w:val="DefaultParagraphFont"/>
    <w:link w:val="Quote"/>
    <w:uiPriority w:val="29"/>
    <w:rsid w:val="00807B03"/>
    <w:rPr>
      <w:i/>
      <w:iCs/>
      <w:color w:val="404040" w:themeColor="text1" w:themeTint="BF"/>
    </w:rPr>
  </w:style>
  <w:style w:type="paragraph" w:styleId="ListParagraph">
    <w:name w:val="List Paragraph"/>
    <w:basedOn w:val="Normal"/>
    <w:uiPriority w:val="34"/>
    <w:qFormat/>
    <w:rsid w:val="00807B03"/>
    <w:pPr>
      <w:ind w:left="720"/>
      <w:contextualSpacing/>
    </w:pPr>
  </w:style>
  <w:style w:type="character" w:styleId="IntenseEmphasis">
    <w:name w:val="Intense Emphasis"/>
    <w:basedOn w:val="DefaultParagraphFont"/>
    <w:uiPriority w:val="21"/>
    <w:qFormat/>
    <w:rsid w:val="00807B03"/>
    <w:rPr>
      <w:i/>
      <w:iCs/>
      <w:color w:val="0F4761" w:themeColor="accent1" w:themeShade="BF"/>
    </w:rPr>
  </w:style>
  <w:style w:type="paragraph" w:styleId="IntenseQuote">
    <w:name w:val="Intense Quote"/>
    <w:basedOn w:val="Normal"/>
    <w:next w:val="Normal"/>
    <w:link w:val="IntenseQuoteChar"/>
    <w:uiPriority w:val="30"/>
    <w:qFormat/>
    <w:rsid w:val="00807B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B03"/>
    <w:rPr>
      <w:i/>
      <w:iCs/>
      <w:color w:val="0F4761" w:themeColor="accent1" w:themeShade="BF"/>
    </w:rPr>
  </w:style>
  <w:style w:type="character" w:styleId="IntenseReference">
    <w:name w:val="Intense Reference"/>
    <w:basedOn w:val="DefaultParagraphFont"/>
    <w:uiPriority w:val="32"/>
    <w:qFormat/>
    <w:rsid w:val="00807B03"/>
    <w:rPr>
      <w:b/>
      <w:bCs/>
      <w:smallCaps/>
      <w:color w:val="0F4761" w:themeColor="accent1" w:themeShade="BF"/>
      <w:spacing w:val="5"/>
    </w:rPr>
  </w:style>
  <w:style w:type="paragraph" w:styleId="Bibliography">
    <w:name w:val="Bibliography"/>
    <w:basedOn w:val="Normal"/>
    <w:next w:val="Normal"/>
    <w:uiPriority w:val="37"/>
    <w:unhideWhenUsed/>
    <w:rsid w:val="00A76255"/>
  </w:style>
  <w:style w:type="character" w:customStyle="1" w:styleId="contents">
    <w:name w:val="contents"/>
    <w:basedOn w:val="DefaultParagraphFont"/>
    <w:rsid w:val="00A76255"/>
  </w:style>
  <w:style w:type="character" w:styleId="Hyperlink">
    <w:name w:val="Hyperlink"/>
    <w:basedOn w:val="DefaultParagraphFont"/>
    <w:uiPriority w:val="99"/>
    <w:semiHidden/>
    <w:unhideWhenUsed/>
    <w:rsid w:val="00A76255"/>
    <w:rPr>
      <w:color w:val="0000FF"/>
      <w:u w:val="single"/>
    </w:rPr>
  </w:style>
  <w:style w:type="character" w:styleId="PlaceholderText">
    <w:name w:val="Placeholder Text"/>
    <w:basedOn w:val="DefaultParagraphFont"/>
    <w:uiPriority w:val="99"/>
    <w:semiHidden/>
    <w:rsid w:val="006E2817"/>
    <w:rPr>
      <w:color w:val="666666"/>
    </w:rPr>
  </w:style>
  <w:style w:type="character" w:customStyle="1" w:styleId="mord">
    <w:name w:val="mord"/>
    <w:basedOn w:val="DefaultParagraphFont"/>
    <w:rsid w:val="006E2817"/>
  </w:style>
  <w:style w:type="character" w:customStyle="1" w:styleId="mrel">
    <w:name w:val="mrel"/>
    <w:basedOn w:val="DefaultParagraphFont"/>
    <w:rsid w:val="006E2817"/>
  </w:style>
  <w:style w:type="character" w:customStyle="1" w:styleId="mop">
    <w:name w:val="mop"/>
    <w:basedOn w:val="DefaultParagraphFont"/>
    <w:rsid w:val="006E2817"/>
  </w:style>
  <w:style w:type="character" w:customStyle="1" w:styleId="vlist-s">
    <w:name w:val="vlist-s"/>
    <w:basedOn w:val="DefaultParagraphFont"/>
    <w:rsid w:val="006E2817"/>
  </w:style>
  <w:style w:type="character" w:customStyle="1" w:styleId="mopen">
    <w:name w:val="mopen"/>
    <w:basedOn w:val="DefaultParagraphFont"/>
    <w:rsid w:val="006E2817"/>
  </w:style>
  <w:style w:type="character" w:customStyle="1" w:styleId="mclose">
    <w:name w:val="mclose"/>
    <w:basedOn w:val="DefaultParagraphFont"/>
    <w:rsid w:val="006E2817"/>
  </w:style>
  <w:style w:type="character" w:customStyle="1" w:styleId="mbin">
    <w:name w:val="mbin"/>
    <w:basedOn w:val="DefaultParagraphFont"/>
    <w:rsid w:val="006E2817"/>
  </w:style>
  <w:style w:type="paragraph" w:styleId="Header">
    <w:name w:val="header"/>
    <w:basedOn w:val="Normal"/>
    <w:link w:val="HeaderChar"/>
    <w:uiPriority w:val="99"/>
    <w:unhideWhenUsed/>
    <w:rsid w:val="00466E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E3B"/>
  </w:style>
  <w:style w:type="paragraph" w:styleId="Footer">
    <w:name w:val="footer"/>
    <w:basedOn w:val="Normal"/>
    <w:link w:val="FooterChar"/>
    <w:uiPriority w:val="99"/>
    <w:unhideWhenUsed/>
    <w:rsid w:val="00466E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E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88015">
      <w:bodyDiv w:val="1"/>
      <w:marLeft w:val="0"/>
      <w:marRight w:val="0"/>
      <w:marTop w:val="0"/>
      <w:marBottom w:val="0"/>
      <w:divBdr>
        <w:top w:val="none" w:sz="0" w:space="0" w:color="auto"/>
        <w:left w:val="none" w:sz="0" w:space="0" w:color="auto"/>
        <w:bottom w:val="none" w:sz="0" w:space="0" w:color="auto"/>
        <w:right w:val="none" w:sz="0" w:space="0" w:color="auto"/>
      </w:divBdr>
    </w:div>
    <w:div w:id="19744569">
      <w:bodyDiv w:val="1"/>
      <w:marLeft w:val="0"/>
      <w:marRight w:val="0"/>
      <w:marTop w:val="0"/>
      <w:marBottom w:val="0"/>
      <w:divBdr>
        <w:top w:val="none" w:sz="0" w:space="0" w:color="auto"/>
        <w:left w:val="none" w:sz="0" w:space="0" w:color="auto"/>
        <w:bottom w:val="none" w:sz="0" w:space="0" w:color="auto"/>
        <w:right w:val="none" w:sz="0" w:space="0" w:color="auto"/>
      </w:divBdr>
    </w:div>
    <w:div w:id="26030317">
      <w:bodyDiv w:val="1"/>
      <w:marLeft w:val="0"/>
      <w:marRight w:val="0"/>
      <w:marTop w:val="0"/>
      <w:marBottom w:val="0"/>
      <w:divBdr>
        <w:top w:val="none" w:sz="0" w:space="0" w:color="auto"/>
        <w:left w:val="none" w:sz="0" w:space="0" w:color="auto"/>
        <w:bottom w:val="none" w:sz="0" w:space="0" w:color="auto"/>
        <w:right w:val="none" w:sz="0" w:space="0" w:color="auto"/>
      </w:divBdr>
    </w:div>
    <w:div w:id="29384800">
      <w:bodyDiv w:val="1"/>
      <w:marLeft w:val="0"/>
      <w:marRight w:val="0"/>
      <w:marTop w:val="0"/>
      <w:marBottom w:val="0"/>
      <w:divBdr>
        <w:top w:val="none" w:sz="0" w:space="0" w:color="auto"/>
        <w:left w:val="none" w:sz="0" w:space="0" w:color="auto"/>
        <w:bottom w:val="none" w:sz="0" w:space="0" w:color="auto"/>
        <w:right w:val="none" w:sz="0" w:space="0" w:color="auto"/>
      </w:divBdr>
    </w:div>
    <w:div w:id="58066524">
      <w:bodyDiv w:val="1"/>
      <w:marLeft w:val="0"/>
      <w:marRight w:val="0"/>
      <w:marTop w:val="0"/>
      <w:marBottom w:val="0"/>
      <w:divBdr>
        <w:top w:val="none" w:sz="0" w:space="0" w:color="auto"/>
        <w:left w:val="none" w:sz="0" w:space="0" w:color="auto"/>
        <w:bottom w:val="none" w:sz="0" w:space="0" w:color="auto"/>
        <w:right w:val="none" w:sz="0" w:space="0" w:color="auto"/>
      </w:divBdr>
    </w:div>
    <w:div w:id="75321528">
      <w:bodyDiv w:val="1"/>
      <w:marLeft w:val="0"/>
      <w:marRight w:val="0"/>
      <w:marTop w:val="0"/>
      <w:marBottom w:val="0"/>
      <w:divBdr>
        <w:top w:val="none" w:sz="0" w:space="0" w:color="auto"/>
        <w:left w:val="none" w:sz="0" w:space="0" w:color="auto"/>
        <w:bottom w:val="none" w:sz="0" w:space="0" w:color="auto"/>
        <w:right w:val="none" w:sz="0" w:space="0" w:color="auto"/>
      </w:divBdr>
    </w:div>
    <w:div w:id="77361531">
      <w:bodyDiv w:val="1"/>
      <w:marLeft w:val="0"/>
      <w:marRight w:val="0"/>
      <w:marTop w:val="0"/>
      <w:marBottom w:val="0"/>
      <w:divBdr>
        <w:top w:val="none" w:sz="0" w:space="0" w:color="auto"/>
        <w:left w:val="none" w:sz="0" w:space="0" w:color="auto"/>
        <w:bottom w:val="none" w:sz="0" w:space="0" w:color="auto"/>
        <w:right w:val="none" w:sz="0" w:space="0" w:color="auto"/>
      </w:divBdr>
    </w:div>
    <w:div w:id="80151345">
      <w:bodyDiv w:val="1"/>
      <w:marLeft w:val="0"/>
      <w:marRight w:val="0"/>
      <w:marTop w:val="0"/>
      <w:marBottom w:val="0"/>
      <w:divBdr>
        <w:top w:val="none" w:sz="0" w:space="0" w:color="auto"/>
        <w:left w:val="none" w:sz="0" w:space="0" w:color="auto"/>
        <w:bottom w:val="none" w:sz="0" w:space="0" w:color="auto"/>
        <w:right w:val="none" w:sz="0" w:space="0" w:color="auto"/>
      </w:divBdr>
    </w:div>
    <w:div w:id="124010186">
      <w:bodyDiv w:val="1"/>
      <w:marLeft w:val="0"/>
      <w:marRight w:val="0"/>
      <w:marTop w:val="0"/>
      <w:marBottom w:val="0"/>
      <w:divBdr>
        <w:top w:val="none" w:sz="0" w:space="0" w:color="auto"/>
        <w:left w:val="none" w:sz="0" w:space="0" w:color="auto"/>
        <w:bottom w:val="none" w:sz="0" w:space="0" w:color="auto"/>
        <w:right w:val="none" w:sz="0" w:space="0" w:color="auto"/>
      </w:divBdr>
    </w:div>
    <w:div w:id="158423363">
      <w:bodyDiv w:val="1"/>
      <w:marLeft w:val="0"/>
      <w:marRight w:val="0"/>
      <w:marTop w:val="0"/>
      <w:marBottom w:val="0"/>
      <w:divBdr>
        <w:top w:val="none" w:sz="0" w:space="0" w:color="auto"/>
        <w:left w:val="none" w:sz="0" w:space="0" w:color="auto"/>
        <w:bottom w:val="none" w:sz="0" w:space="0" w:color="auto"/>
        <w:right w:val="none" w:sz="0" w:space="0" w:color="auto"/>
      </w:divBdr>
    </w:div>
    <w:div w:id="190922209">
      <w:bodyDiv w:val="1"/>
      <w:marLeft w:val="0"/>
      <w:marRight w:val="0"/>
      <w:marTop w:val="0"/>
      <w:marBottom w:val="0"/>
      <w:divBdr>
        <w:top w:val="none" w:sz="0" w:space="0" w:color="auto"/>
        <w:left w:val="none" w:sz="0" w:space="0" w:color="auto"/>
        <w:bottom w:val="none" w:sz="0" w:space="0" w:color="auto"/>
        <w:right w:val="none" w:sz="0" w:space="0" w:color="auto"/>
      </w:divBdr>
    </w:div>
    <w:div w:id="224604636">
      <w:bodyDiv w:val="1"/>
      <w:marLeft w:val="0"/>
      <w:marRight w:val="0"/>
      <w:marTop w:val="0"/>
      <w:marBottom w:val="0"/>
      <w:divBdr>
        <w:top w:val="none" w:sz="0" w:space="0" w:color="auto"/>
        <w:left w:val="none" w:sz="0" w:space="0" w:color="auto"/>
        <w:bottom w:val="none" w:sz="0" w:space="0" w:color="auto"/>
        <w:right w:val="none" w:sz="0" w:space="0" w:color="auto"/>
      </w:divBdr>
    </w:div>
    <w:div w:id="253511961">
      <w:bodyDiv w:val="1"/>
      <w:marLeft w:val="0"/>
      <w:marRight w:val="0"/>
      <w:marTop w:val="0"/>
      <w:marBottom w:val="0"/>
      <w:divBdr>
        <w:top w:val="none" w:sz="0" w:space="0" w:color="auto"/>
        <w:left w:val="none" w:sz="0" w:space="0" w:color="auto"/>
        <w:bottom w:val="none" w:sz="0" w:space="0" w:color="auto"/>
        <w:right w:val="none" w:sz="0" w:space="0" w:color="auto"/>
      </w:divBdr>
    </w:div>
    <w:div w:id="280183860">
      <w:bodyDiv w:val="1"/>
      <w:marLeft w:val="0"/>
      <w:marRight w:val="0"/>
      <w:marTop w:val="0"/>
      <w:marBottom w:val="0"/>
      <w:divBdr>
        <w:top w:val="none" w:sz="0" w:space="0" w:color="auto"/>
        <w:left w:val="none" w:sz="0" w:space="0" w:color="auto"/>
        <w:bottom w:val="none" w:sz="0" w:space="0" w:color="auto"/>
        <w:right w:val="none" w:sz="0" w:space="0" w:color="auto"/>
      </w:divBdr>
    </w:div>
    <w:div w:id="331033611">
      <w:bodyDiv w:val="1"/>
      <w:marLeft w:val="0"/>
      <w:marRight w:val="0"/>
      <w:marTop w:val="0"/>
      <w:marBottom w:val="0"/>
      <w:divBdr>
        <w:top w:val="none" w:sz="0" w:space="0" w:color="auto"/>
        <w:left w:val="none" w:sz="0" w:space="0" w:color="auto"/>
        <w:bottom w:val="none" w:sz="0" w:space="0" w:color="auto"/>
        <w:right w:val="none" w:sz="0" w:space="0" w:color="auto"/>
      </w:divBdr>
    </w:div>
    <w:div w:id="498160494">
      <w:bodyDiv w:val="1"/>
      <w:marLeft w:val="0"/>
      <w:marRight w:val="0"/>
      <w:marTop w:val="0"/>
      <w:marBottom w:val="0"/>
      <w:divBdr>
        <w:top w:val="none" w:sz="0" w:space="0" w:color="auto"/>
        <w:left w:val="none" w:sz="0" w:space="0" w:color="auto"/>
        <w:bottom w:val="none" w:sz="0" w:space="0" w:color="auto"/>
        <w:right w:val="none" w:sz="0" w:space="0" w:color="auto"/>
      </w:divBdr>
    </w:div>
    <w:div w:id="528373730">
      <w:bodyDiv w:val="1"/>
      <w:marLeft w:val="0"/>
      <w:marRight w:val="0"/>
      <w:marTop w:val="0"/>
      <w:marBottom w:val="0"/>
      <w:divBdr>
        <w:top w:val="none" w:sz="0" w:space="0" w:color="auto"/>
        <w:left w:val="none" w:sz="0" w:space="0" w:color="auto"/>
        <w:bottom w:val="none" w:sz="0" w:space="0" w:color="auto"/>
        <w:right w:val="none" w:sz="0" w:space="0" w:color="auto"/>
      </w:divBdr>
    </w:div>
    <w:div w:id="537664990">
      <w:bodyDiv w:val="1"/>
      <w:marLeft w:val="0"/>
      <w:marRight w:val="0"/>
      <w:marTop w:val="0"/>
      <w:marBottom w:val="0"/>
      <w:divBdr>
        <w:top w:val="none" w:sz="0" w:space="0" w:color="auto"/>
        <w:left w:val="none" w:sz="0" w:space="0" w:color="auto"/>
        <w:bottom w:val="none" w:sz="0" w:space="0" w:color="auto"/>
        <w:right w:val="none" w:sz="0" w:space="0" w:color="auto"/>
      </w:divBdr>
    </w:div>
    <w:div w:id="612593196">
      <w:bodyDiv w:val="1"/>
      <w:marLeft w:val="0"/>
      <w:marRight w:val="0"/>
      <w:marTop w:val="0"/>
      <w:marBottom w:val="0"/>
      <w:divBdr>
        <w:top w:val="none" w:sz="0" w:space="0" w:color="auto"/>
        <w:left w:val="none" w:sz="0" w:space="0" w:color="auto"/>
        <w:bottom w:val="none" w:sz="0" w:space="0" w:color="auto"/>
        <w:right w:val="none" w:sz="0" w:space="0" w:color="auto"/>
      </w:divBdr>
    </w:div>
    <w:div w:id="668599876">
      <w:bodyDiv w:val="1"/>
      <w:marLeft w:val="0"/>
      <w:marRight w:val="0"/>
      <w:marTop w:val="0"/>
      <w:marBottom w:val="0"/>
      <w:divBdr>
        <w:top w:val="none" w:sz="0" w:space="0" w:color="auto"/>
        <w:left w:val="none" w:sz="0" w:space="0" w:color="auto"/>
        <w:bottom w:val="none" w:sz="0" w:space="0" w:color="auto"/>
        <w:right w:val="none" w:sz="0" w:space="0" w:color="auto"/>
      </w:divBdr>
    </w:div>
    <w:div w:id="682240832">
      <w:bodyDiv w:val="1"/>
      <w:marLeft w:val="0"/>
      <w:marRight w:val="0"/>
      <w:marTop w:val="0"/>
      <w:marBottom w:val="0"/>
      <w:divBdr>
        <w:top w:val="none" w:sz="0" w:space="0" w:color="auto"/>
        <w:left w:val="none" w:sz="0" w:space="0" w:color="auto"/>
        <w:bottom w:val="none" w:sz="0" w:space="0" w:color="auto"/>
        <w:right w:val="none" w:sz="0" w:space="0" w:color="auto"/>
      </w:divBdr>
    </w:div>
    <w:div w:id="745952955">
      <w:bodyDiv w:val="1"/>
      <w:marLeft w:val="0"/>
      <w:marRight w:val="0"/>
      <w:marTop w:val="0"/>
      <w:marBottom w:val="0"/>
      <w:divBdr>
        <w:top w:val="none" w:sz="0" w:space="0" w:color="auto"/>
        <w:left w:val="none" w:sz="0" w:space="0" w:color="auto"/>
        <w:bottom w:val="none" w:sz="0" w:space="0" w:color="auto"/>
        <w:right w:val="none" w:sz="0" w:space="0" w:color="auto"/>
      </w:divBdr>
    </w:div>
    <w:div w:id="753553308">
      <w:bodyDiv w:val="1"/>
      <w:marLeft w:val="0"/>
      <w:marRight w:val="0"/>
      <w:marTop w:val="0"/>
      <w:marBottom w:val="0"/>
      <w:divBdr>
        <w:top w:val="none" w:sz="0" w:space="0" w:color="auto"/>
        <w:left w:val="none" w:sz="0" w:space="0" w:color="auto"/>
        <w:bottom w:val="none" w:sz="0" w:space="0" w:color="auto"/>
        <w:right w:val="none" w:sz="0" w:space="0" w:color="auto"/>
      </w:divBdr>
    </w:div>
    <w:div w:id="754519909">
      <w:bodyDiv w:val="1"/>
      <w:marLeft w:val="0"/>
      <w:marRight w:val="0"/>
      <w:marTop w:val="0"/>
      <w:marBottom w:val="0"/>
      <w:divBdr>
        <w:top w:val="none" w:sz="0" w:space="0" w:color="auto"/>
        <w:left w:val="none" w:sz="0" w:space="0" w:color="auto"/>
        <w:bottom w:val="none" w:sz="0" w:space="0" w:color="auto"/>
        <w:right w:val="none" w:sz="0" w:space="0" w:color="auto"/>
      </w:divBdr>
    </w:div>
    <w:div w:id="763526434">
      <w:bodyDiv w:val="1"/>
      <w:marLeft w:val="0"/>
      <w:marRight w:val="0"/>
      <w:marTop w:val="0"/>
      <w:marBottom w:val="0"/>
      <w:divBdr>
        <w:top w:val="none" w:sz="0" w:space="0" w:color="auto"/>
        <w:left w:val="none" w:sz="0" w:space="0" w:color="auto"/>
        <w:bottom w:val="none" w:sz="0" w:space="0" w:color="auto"/>
        <w:right w:val="none" w:sz="0" w:space="0" w:color="auto"/>
      </w:divBdr>
    </w:div>
    <w:div w:id="812908630">
      <w:bodyDiv w:val="1"/>
      <w:marLeft w:val="0"/>
      <w:marRight w:val="0"/>
      <w:marTop w:val="0"/>
      <w:marBottom w:val="0"/>
      <w:divBdr>
        <w:top w:val="none" w:sz="0" w:space="0" w:color="auto"/>
        <w:left w:val="none" w:sz="0" w:space="0" w:color="auto"/>
        <w:bottom w:val="none" w:sz="0" w:space="0" w:color="auto"/>
        <w:right w:val="none" w:sz="0" w:space="0" w:color="auto"/>
      </w:divBdr>
    </w:div>
    <w:div w:id="821776394">
      <w:bodyDiv w:val="1"/>
      <w:marLeft w:val="0"/>
      <w:marRight w:val="0"/>
      <w:marTop w:val="0"/>
      <w:marBottom w:val="0"/>
      <w:divBdr>
        <w:top w:val="none" w:sz="0" w:space="0" w:color="auto"/>
        <w:left w:val="none" w:sz="0" w:space="0" w:color="auto"/>
        <w:bottom w:val="none" w:sz="0" w:space="0" w:color="auto"/>
        <w:right w:val="none" w:sz="0" w:space="0" w:color="auto"/>
      </w:divBdr>
    </w:div>
    <w:div w:id="824247254">
      <w:bodyDiv w:val="1"/>
      <w:marLeft w:val="0"/>
      <w:marRight w:val="0"/>
      <w:marTop w:val="0"/>
      <w:marBottom w:val="0"/>
      <w:divBdr>
        <w:top w:val="none" w:sz="0" w:space="0" w:color="auto"/>
        <w:left w:val="none" w:sz="0" w:space="0" w:color="auto"/>
        <w:bottom w:val="none" w:sz="0" w:space="0" w:color="auto"/>
        <w:right w:val="none" w:sz="0" w:space="0" w:color="auto"/>
      </w:divBdr>
    </w:div>
    <w:div w:id="836119436">
      <w:bodyDiv w:val="1"/>
      <w:marLeft w:val="0"/>
      <w:marRight w:val="0"/>
      <w:marTop w:val="0"/>
      <w:marBottom w:val="0"/>
      <w:divBdr>
        <w:top w:val="none" w:sz="0" w:space="0" w:color="auto"/>
        <w:left w:val="none" w:sz="0" w:space="0" w:color="auto"/>
        <w:bottom w:val="none" w:sz="0" w:space="0" w:color="auto"/>
        <w:right w:val="none" w:sz="0" w:space="0" w:color="auto"/>
      </w:divBdr>
    </w:div>
    <w:div w:id="841746335">
      <w:bodyDiv w:val="1"/>
      <w:marLeft w:val="0"/>
      <w:marRight w:val="0"/>
      <w:marTop w:val="0"/>
      <w:marBottom w:val="0"/>
      <w:divBdr>
        <w:top w:val="none" w:sz="0" w:space="0" w:color="auto"/>
        <w:left w:val="none" w:sz="0" w:space="0" w:color="auto"/>
        <w:bottom w:val="none" w:sz="0" w:space="0" w:color="auto"/>
        <w:right w:val="none" w:sz="0" w:space="0" w:color="auto"/>
      </w:divBdr>
    </w:div>
    <w:div w:id="844588848">
      <w:bodyDiv w:val="1"/>
      <w:marLeft w:val="0"/>
      <w:marRight w:val="0"/>
      <w:marTop w:val="0"/>
      <w:marBottom w:val="0"/>
      <w:divBdr>
        <w:top w:val="none" w:sz="0" w:space="0" w:color="auto"/>
        <w:left w:val="none" w:sz="0" w:space="0" w:color="auto"/>
        <w:bottom w:val="none" w:sz="0" w:space="0" w:color="auto"/>
        <w:right w:val="none" w:sz="0" w:space="0" w:color="auto"/>
      </w:divBdr>
    </w:div>
    <w:div w:id="850098263">
      <w:bodyDiv w:val="1"/>
      <w:marLeft w:val="0"/>
      <w:marRight w:val="0"/>
      <w:marTop w:val="0"/>
      <w:marBottom w:val="0"/>
      <w:divBdr>
        <w:top w:val="none" w:sz="0" w:space="0" w:color="auto"/>
        <w:left w:val="none" w:sz="0" w:space="0" w:color="auto"/>
        <w:bottom w:val="none" w:sz="0" w:space="0" w:color="auto"/>
        <w:right w:val="none" w:sz="0" w:space="0" w:color="auto"/>
      </w:divBdr>
    </w:div>
    <w:div w:id="865826343">
      <w:bodyDiv w:val="1"/>
      <w:marLeft w:val="0"/>
      <w:marRight w:val="0"/>
      <w:marTop w:val="0"/>
      <w:marBottom w:val="0"/>
      <w:divBdr>
        <w:top w:val="none" w:sz="0" w:space="0" w:color="auto"/>
        <w:left w:val="none" w:sz="0" w:space="0" w:color="auto"/>
        <w:bottom w:val="none" w:sz="0" w:space="0" w:color="auto"/>
        <w:right w:val="none" w:sz="0" w:space="0" w:color="auto"/>
      </w:divBdr>
    </w:div>
    <w:div w:id="983386383">
      <w:bodyDiv w:val="1"/>
      <w:marLeft w:val="0"/>
      <w:marRight w:val="0"/>
      <w:marTop w:val="0"/>
      <w:marBottom w:val="0"/>
      <w:divBdr>
        <w:top w:val="none" w:sz="0" w:space="0" w:color="auto"/>
        <w:left w:val="none" w:sz="0" w:space="0" w:color="auto"/>
        <w:bottom w:val="none" w:sz="0" w:space="0" w:color="auto"/>
        <w:right w:val="none" w:sz="0" w:space="0" w:color="auto"/>
      </w:divBdr>
    </w:div>
    <w:div w:id="1011295491">
      <w:bodyDiv w:val="1"/>
      <w:marLeft w:val="0"/>
      <w:marRight w:val="0"/>
      <w:marTop w:val="0"/>
      <w:marBottom w:val="0"/>
      <w:divBdr>
        <w:top w:val="none" w:sz="0" w:space="0" w:color="auto"/>
        <w:left w:val="none" w:sz="0" w:space="0" w:color="auto"/>
        <w:bottom w:val="none" w:sz="0" w:space="0" w:color="auto"/>
        <w:right w:val="none" w:sz="0" w:space="0" w:color="auto"/>
      </w:divBdr>
    </w:div>
    <w:div w:id="1059404864">
      <w:bodyDiv w:val="1"/>
      <w:marLeft w:val="0"/>
      <w:marRight w:val="0"/>
      <w:marTop w:val="0"/>
      <w:marBottom w:val="0"/>
      <w:divBdr>
        <w:top w:val="none" w:sz="0" w:space="0" w:color="auto"/>
        <w:left w:val="none" w:sz="0" w:space="0" w:color="auto"/>
        <w:bottom w:val="none" w:sz="0" w:space="0" w:color="auto"/>
        <w:right w:val="none" w:sz="0" w:space="0" w:color="auto"/>
      </w:divBdr>
    </w:div>
    <w:div w:id="1075543155">
      <w:bodyDiv w:val="1"/>
      <w:marLeft w:val="0"/>
      <w:marRight w:val="0"/>
      <w:marTop w:val="0"/>
      <w:marBottom w:val="0"/>
      <w:divBdr>
        <w:top w:val="none" w:sz="0" w:space="0" w:color="auto"/>
        <w:left w:val="none" w:sz="0" w:space="0" w:color="auto"/>
        <w:bottom w:val="none" w:sz="0" w:space="0" w:color="auto"/>
        <w:right w:val="none" w:sz="0" w:space="0" w:color="auto"/>
      </w:divBdr>
    </w:div>
    <w:div w:id="1221600938">
      <w:bodyDiv w:val="1"/>
      <w:marLeft w:val="0"/>
      <w:marRight w:val="0"/>
      <w:marTop w:val="0"/>
      <w:marBottom w:val="0"/>
      <w:divBdr>
        <w:top w:val="none" w:sz="0" w:space="0" w:color="auto"/>
        <w:left w:val="none" w:sz="0" w:space="0" w:color="auto"/>
        <w:bottom w:val="none" w:sz="0" w:space="0" w:color="auto"/>
        <w:right w:val="none" w:sz="0" w:space="0" w:color="auto"/>
      </w:divBdr>
    </w:div>
    <w:div w:id="1308780207">
      <w:bodyDiv w:val="1"/>
      <w:marLeft w:val="0"/>
      <w:marRight w:val="0"/>
      <w:marTop w:val="0"/>
      <w:marBottom w:val="0"/>
      <w:divBdr>
        <w:top w:val="none" w:sz="0" w:space="0" w:color="auto"/>
        <w:left w:val="none" w:sz="0" w:space="0" w:color="auto"/>
        <w:bottom w:val="none" w:sz="0" w:space="0" w:color="auto"/>
        <w:right w:val="none" w:sz="0" w:space="0" w:color="auto"/>
      </w:divBdr>
    </w:div>
    <w:div w:id="1340691048">
      <w:bodyDiv w:val="1"/>
      <w:marLeft w:val="0"/>
      <w:marRight w:val="0"/>
      <w:marTop w:val="0"/>
      <w:marBottom w:val="0"/>
      <w:divBdr>
        <w:top w:val="none" w:sz="0" w:space="0" w:color="auto"/>
        <w:left w:val="none" w:sz="0" w:space="0" w:color="auto"/>
        <w:bottom w:val="none" w:sz="0" w:space="0" w:color="auto"/>
        <w:right w:val="none" w:sz="0" w:space="0" w:color="auto"/>
      </w:divBdr>
    </w:div>
    <w:div w:id="1357197455">
      <w:bodyDiv w:val="1"/>
      <w:marLeft w:val="0"/>
      <w:marRight w:val="0"/>
      <w:marTop w:val="0"/>
      <w:marBottom w:val="0"/>
      <w:divBdr>
        <w:top w:val="none" w:sz="0" w:space="0" w:color="auto"/>
        <w:left w:val="none" w:sz="0" w:space="0" w:color="auto"/>
        <w:bottom w:val="none" w:sz="0" w:space="0" w:color="auto"/>
        <w:right w:val="none" w:sz="0" w:space="0" w:color="auto"/>
      </w:divBdr>
    </w:div>
    <w:div w:id="1360158160">
      <w:bodyDiv w:val="1"/>
      <w:marLeft w:val="0"/>
      <w:marRight w:val="0"/>
      <w:marTop w:val="0"/>
      <w:marBottom w:val="0"/>
      <w:divBdr>
        <w:top w:val="none" w:sz="0" w:space="0" w:color="auto"/>
        <w:left w:val="none" w:sz="0" w:space="0" w:color="auto"/>
        <w:bottom w:val="none" w:sz="0" w:space="0" w:color="auto"/>
        <w:right w:val="none" w:sz="0" w:space="0" w:color="auto"/>
      </w:divBdr>
    </w:div>
    <w:div w:id="1369722020">
      <w:bodyDiv w:val="1"/>
      <w:marLeft w:val="0"/>
      <w:marRight w:val="0"/>
      <w:marTop w:val="0"/>
      <w:marBottom w:val="0"/>
      <w:divBdr>
        <w:top w:val="none" w:sz="0" w:space="0" w:color="auto"/>
        <w:left w:val="none" w:sz="0" w:space="0" w:color="auto"/>
        <w:bottom w:val="none" w:sz="0" w:space="0" w:color="auto"/>
        <w:right w:val="none" w:sz="0" w:space="0" w:color="auto"/>
      </w:divBdr>
    </w:div>
    <w:div w:id="1376732810">
      <w:bodyDiv w:val="1"/>
      <w:marLeft w:val="0"/>
      <w:marRight w:val="0"/>
      <w:marTop w:val="0"/>
      <w:marBottom w:val="0"/>
      <w:divBdr>
        <w:top w:val="none" w:sz="0" w:space="0" w:color="auto"/>
        <w:left w:val="none" w:sz="0" w:space="0" w:color="auto"/>
        <w:bottom w:val="none" w:sz="0" w:space="0" w:color="auto"/>
        <w:right w:val="none" w:sz="0" w:space="0" w:color="auto"/>
      </w:divBdr>
    </w:div>
    <w:div w:id="1388534563">
      <w:bodyDiv w:val="1"/>
      <w:marLeft w:val="0"/>
      <w:marRight w:val="0"/>
      <w:marTop w:val="0"/>
      <w:marBottom w:val="0"/>
      <w:divBdr>
        <w:top w:val="none" w:sz="0" w:space="0" w:color="auto"/>
        <w:left w:val="none" w:sz="0" w:space="0" w:color="auto"/>
        <w:bottom w:val="none" w:sz="0" w:space="0" w:color="auto"/>
        <w:right w:val="none" w:sz="0" w:space="0" w:color="auto"/>
      </w:divBdr>
    </w:div>
    <w:div w:id="1433356013">
      <w:bodyDiv w:val="1"/>
      <w:marLeft w:val="0"/>
      <w:marRight w:val="0"/>
      <w:marTop w:val="0"/>
      <w:marBottom w:val="0"/>
      <w:divBdr>
        <w:top w:val="none" w:sz="0" w:space="0" w:color="auto"/>
        <w:left w:val="none" w:sz="0" w:space="0" w:color="auto"/>
        <w:bottom w:val="none" w:sz="0" w:space="0" w:color="auto"/>
        <w:right w:val="none" w:sz="0" w:space="0" w:color="auto"/>
      </w:divBdr>
    </w:div>
    <w:div w:id="1445538340">
      <w:bodyDiv w:val="1"/>
      <w:marLeft w:val="0"/>
      <w:marRight w:val="0"/>
      <w:marTop w:val="0"/>
      <w:marBottom w:val="0"/>
      <w:divBdr>
        <w:top w:val="none" w:sz="0" w:space="0" w:color="auto"/>
        <w:left w:val="none" w:sz="0" w:space="0" w:color="auto"/>
        <w:bottom w:val="none" w:sz="0" w:space="0" w:color="auto"/>
        <w:right w:val="none" w:sz="0" w:space="0" w:color="auto"/>
      </w:divBdr>
    </w:div>
    <w:div w:id="1454444877">
      <w:bodyDiv w:val="1"/>
      <w:marLeft w:val="0"/>
      <w:marRight w:val="0"/>
      <w:marTop w:val="0"/>
      <w:marBottom w:val="0"/>
      <w:divBdr>
        <w:top w:val="none" w:sz="0" w:space="0" w:color="auto"/>
        <w:left w:val="none" w:sz="0" w:space="0" w:color="auto"/>
        <w:bottom w:val="none" w:sz="0" w:space="0" w:color="auto"/>
        <w:right w:val="none" w:sz="0" w:space="0" w:color="auto"/>
      </w:divBdr>
    </w:div>
    <w:div w:id="1455825454">
      <w:bodyDiv w:val="1"/>
      <w:marLeft w:val="0"/>
      <w:marRight w:val="0"/>
      <w:marTop w:val="0"/>
      <w:marBottom w:val="0"/>
      <w:divBdr>
        <w:top w:val="none" w:sz="0" w:space="0" w:color="auto"/>
        <w:left w:val="none" w:sz="0" w:space="0" w:color="auto"/>
        <w:bottom w:val="none" w:sz="0" w:space="0" w:color="auto"/>
        <w:right w:val="none" w:sz="0" w:space="0" w:color="auto"/>
      </w:divBdr>
    </w:div>
    <w:div w:id="1509445869">
      <w:bodyDiv w:val="1"/>
      <w:marLeft w:val="0"/>
      <w:marRight w:val="0"/>
      <w:marTop w:val="0"/>
      <w:marBottom w:val="0"/>
      <w:divBdr>
        <w:top w:val="none" w:sz="0" w:space="0" w:color="auto"/>
        <w:left w:val="none" w:sz="0" w:space="0" w:color="auto"/>
        <w:bottom w:val="none" w:sz="0" w:space="0" w:color="auto"/>
        <w:right w:val="none" w:sz="0" w:space="0" w:color="auto"/>
      </w:divBdr>
    </w:div>
    <w:div w:id="1514491389">
      <w:bodyDiv w:val="1"/>
      <w:marLeft w:val="0"/>
      <w:marRight w:val="0"/>
      <w:marTop w:val="0"/>
      <w:marBottom w:val="0"/>
      <w:divBdr>
        <w:top w:val="none" w:sz="0" w:space="0" w:color="auto"/>
        <w:left w:val="none" w:sz="0" w:space="0" w:color="auto"/>
        <w:bottom w:val="none" w:sz="0" w:space="0" w:color="auto"/>
        <w:right w:val="none" w:sz="0" w:space="0" w:color="auto"/>
      </w:divBdr>
    </w:div>
    <w:div w:id="1610311007">
      <w:bodyDiv w:val="1"/>
      <w:marLeft w:val="0"/>
      <w:marRight w:val="0"/>
      <w:marTop w:val="0"/>
      <w:marBottom w:val="0"/>
      <w:divBdr>
        <w:top w:val="none" w:sz="0" w:space="0" w:color="auto"/>
        <w:left w:val="none" w:sz="0" w:space="0" w:color="auto"/>
        <w:bottom w:val="none" w:sz="0" w:space="0" w:color="auto"/>
        <w:right w:val="none" w:sz="0" w:space="0" w:color="auto"/>
      </w:divBdr>
    </w:div>
    <w:div w:id="1619792712">
      <w:bodyDiv w:val="1"/>
      <w:marLeft w:val="0"/>
      <w:marRight w:val="0"/>
      <w:marTop w:val="0"/>
      <w:marBottom w:val="0"/>
      <w:divBdr>
        <w:top w:val="none" w:sz="0" w:space="0" w:color="auto"/>
        <w:left w:val="none" w:sz="0" w:space="0" w:color="auto"/>
        <w:bottom w:val="none" w:sz="0" w:space="0" w:color="auto"/>
        <w:right w:val="none" w:sz="0" w:space="0" w:color="auto"/>
      </w:divBdr>
    </w:div>
    <w:div w:id="1689983744">
      <w:bodyDiv w:val="1"/>
      <w:marLeft w:val="0"/>
      <w:marRight w:val="0"/>
      <w:marTop w:val="0"/>
      <w:marBottom w:val="0"/>
      <w:divBdr>
        <w:top w:val="none" w:sz="0" w:space="0" w:color="auto"/>
        <w:left w:val="none" w:sz="0" w:space="0" w:color="auto"/>
        <w:bottom w:val="none" w:sz="0" w:space="0" w:color="auto"/>
        <w:right w:val="none" w:sz="0" w:space="0" w:color="auto"/>
      </w:divBdr>
    </w:div>
    <w:div w:id="1739860975">
      <w:bodyDiv w:val="1"/>
      <w:marLeft w:val="0"/>
      <w:marRight w:val="0"/>
      <w:marTop w:val="0"/>
      <w:marBottom w:val="0"/>
      <w:divBdr>
        <w:top w:val="none" w:sz="0" w:space="0" w:color="auto"/>
        <w:left w:val="none" w:sz="0" w:space="0" w:color="auto"/>
        <w:bottom w:val="none" w:sz="0" w:space="0" w:color="auto"/>
        <w:right w:val="none" w:sz="0" w:space="0" w:color="auto"/>
      </w:divBdr>
    </w:div>
    <w:div w:id="1798258646">
      <w:bodyDiv w:val="1"/>
      <w:marLeft w:val="0"/>
      <w:marRight w:val="0"/>
      <w:marTop w:val="0"/>
      <w:marBottom w:val="0"/>
      <w:divBdr>
        <w:top w:val="none" w:sz="0" w:space="0" w:color="auto"/>
        <w:left w:val="none" w:sz="0" w:space="0" w:color="auto"/>
        <w:bottom w:val="none" w:sz="0" w:space="0" w:color="auto"/>
        <w:right w:val="none" w:sz="0" w:space="0" w:color="auto"/>
      </w:divBdr>
    </w:div>
    <w:div w:id="1817406916">
      <w:bodyDiv w:val="1"/>
      <w:marLeft w:val="0"/>
      <w:marRight w:val="0"/>
      <w:marTop w:val="0"/>
      <w:marBottom w:val="0"/>
      <w:divBdr>
        <w:top w:val="none" w:sz="0" w:space="0" w:color="auto"/>
        <w:left w:val="none" w:sz="0" w:space="0" w:color="auto"/>
        <w:bottom w:val="none" w:sz="0" w:space="0" w:color="auto"/>
        <w:right w:val="none" w:sz="0" w:space="0" w:color="auto"/>
      </w:divBdr>
    </w:div>
    <w:div w:id="1862935357">
      <w:bodyDiv w:val="1"/>
      <w:marLeft w:val="0"/>
      <w:marRight w:val="0"/>
      <w:marTop w:val="0"/>
      <w:marBottom w:val="0"/>
      <w:divBdr>
        <w:top w:val="none" w:sz="0" w:space="0" w:color="auto"/>
        <w:left w:val="none" w:sz="0" w:space="0" w:color="auto"/>
        <w:bottom w:val="none" w:sz="0" w:space="0" w:color="auto"/>
        <w:right w:val="none" w:sz="0" w:space="0" w:color="auto"/>
      </w:divBdr>
    </w:div>
    <w:div w:id="1878158806">
      <w:bodyDiv w:val="1"/>
      <w:marLeft w:val="0"/>
      <w:marRight w:val="0"/>
      <w:marTop w:val="0"/>
      <w:marBottom w:val="0"/>
      <w:divBdr>
        <w:top w:val="none" w:sz="0" w:space="0" w:color="auto"/>
        <w:left w:val="none" w:sz="0" w:space="0" w:color="auto"/>
        <w:bottom w:val="none" w:sz="0" w:space="0" w:color="auto"/>
        <w:right w:val="none" w:sz="0" w:space="0" w:color="auto"/>
      </w:divBdr>
    </w:div>
    <w:div w:id="1879778049">
      <w:bodyDiv w:val="1"/>
      <w:marLeft w:val="0"/>
      <w:marRight w:val="0"/>
      <w:marTop w:val="0"/>
      <w:marBottom w:val="0"/>
      <w:divBdr>
        <w:top w:val="none" w:sz="0" w:space="0" w:color="auto"/>
        <w:left w:val="none" w:sz="0" w:space="0" w:color="auto"/>
        <w:bottom w:val="none" w:sz="0" w:space="0" w:color="auto"/>
        <w:right w:val="none" w:sz="0" w:space="0" w:color="auto"/>
      </w:divBdr>
    </w:div>
    <w:div w:id="1921254423">
      <w:bodyDiv w:val="1"/>
      <w:marLeft w:val="0"/>
      <w:marRight w:val="0"/>
      <w:marTop w:val="0"/>
      <w:marBottom w:val="0"/>
      <w:divBdr>
        <w:top w:val="none" w:sz="0" w:space="0" w:color="auto"/>
        <w:left w:val="none" w:sz="0" w:space="0" w:color="auto"/>
        <w:bottom w:val="none" w:sz="0" w:space="0" w:color="auto"/>
        <w:right w:val="none" w:sz="0" w:space="0" w:color="auto"/>
      </w:divBdr>
    </w:div>
    <w:div w:id="1925794798">
      <w:bodyDiv w:val="1"/>
      <w:marLeft w:val="0"/>
      <w:marRight w:val="0"/>
      <w:marTop w:val="0"/>
      <w:marBottom w:val="0"/>
      <w:divBdr>
        <w:top w:val="none" w:sz="0" w:space="0" w:color="auto"/>
        <w:left w:val="none" w:sz="0" w:space="0" w:color="auto"/>
        <w:bottom w:val="none" w:sz="0" w:space="0" w:color="auto"/>
        <w:right w:val="none" w:sz="0" w:space="0" w:color="auto"/>
      </w:divBdr>
    </w:div>
    <w:div w:id="1928223654">
      <w:bodyDiv w:val="1"/>
      <w:marLeft w:val="0"/>
      <w:marRight w:val="0"/>
      <w:marTop w:val="0"/>
      <w:marBottom w:val="0"/>
      <w:divBdr>
        <w:top w:val="none" w:sz="0" w:space="0" w:color="auto"/>
        <w:left w:val="none" w:sz="0" w:space="0" w:color="auto"/>
        <w:bottom w:val="none" w:sz="0" w:space="0" w:color="auto"/>
        <w:right w:val="none" w:sz="0" w:space="0" w:color="auto"/>
      </w:divBdr>
    </w:div>
    <w:div w:id="1948534719">
      <w:bodyDiv w:val="1"/>
      <w:marLeft w:val="0"/>
      <w:marRight w:val="0"/>
      <w:marTop w:val="0"/>
      <w:marBottom w:val="0"/>
      <w:divBdr>
        <w:top w:val="none" w:sz="0" w:space="0" w:color="auto"/>
        <w:left w:val="none" w:sz="0" w:space="0" w:color="auto"/>
        <w:bottom w:val="none" w:sz="0" w:space="0" w:color="auto"/>
        <w:right w:val="none" w:sz="0" w:space="0" w:color="auto"/>
      </w:divBdr>
    </w:div>
    <w:div w:id="1951664669">
      <w:bodyDiv w:val="1"/>
      <w:marLeft w:val="0"/>
      <w:marRight w:val="0"/>
      <w:marTop w:val="0"/>
      <w:marBottom w:val="0"/>
      <w:divBdr>
        <w:top w:val="none" w:sz="0" w:space="0" w:color="auto"/>
        <w:left w:val="none" w:sz="0" w:space="0" w:color="auto"/>
        <w:bottom w:val="none" w:sz="0" w:space="0" w:color="auto"/>
        <w:right w:val="none" w:sz="0" w:space="0" w:color="auto"/>
      </w:divBdr>
    </w:div>
    <w:div w:id="1961565781">
      <w:bodyDiv w:val="1"/>
      <w:marLeft w:val="0"/>
      <w:marRight w:val="0"/>
      <w:marTop w:val="0"/>
      <w:marBottom w:val="0"/>
      <w:divBdr>
        <w:top w:val="none" w:sz="0" w:space="0" w:color="auto"/>
        <w:left w:val="none" w:sz="0" w:space="0" w:color="auto"/>
        <w:bottom w:val="none" w:sz="0" w:space="0" w:color="auto"/>
        <w:right w:val="none" w:sz="0" w:space="0" w:color="auto"/>
      </w:divBdr>
    </w:div>
    <w:div w:id="1971282363">
      <w:bodyDiv w:val="1"/>
      <w:marLeft w:val="0"/>
      <w:marRight w:val="0"/>
      <w:marTop w:val="0"/>
      <w:marBottom w:val="0"/>
      <w:divBdr>
        <w:top w:val="none" w:sz="0" w:space="0" w:color="auto"/>
        <w:left w:val="none" w:sz="0" w:space="0" w:color="auto"/>
        <w:bottom w:val="none" w:sz="0" w:space="0" w:color="auto"/>
        <w:right w:val="none" w:sz="0" w:space="0" w:color="auto"/>
      </w:divBdr>
    </w:div>
    <w:div w:id="2057242277">
      <w:bodyDiv w:val="1"/>
      <w:marLeft w:val="0"/>
      <w:marRight w:val="0"/>
      <w:marTop w:val="0"/>
      <w:marBottom w:val="0"/>
      <w:divBdr>
        <w:top w:val="none" w:sz="0" w:space="0" w:color="auto"/>
        <w:left w:val="none" w:sz="0" w:space="0" w:color="auto"/>
        <w:bottom w:val="none" w:sz="0" w:space="0" w:color="auto"/>
        <w:right w:val="none" w:sz="0" w:space="0" w:color="auto"/>
      </w:divBdr>
    </w:div>
    <w:div w:id="2077892038">
      <w:bodyDiv w:val="1"/>
      <w:marLeft w:val="0"/>
      <w:marRight w:val="0"/>
      <w:marTop w:val="0"/>
      <w:marBottom w:val="0"/>
      <w:divBdr>
        <w:top w:val="none" w:sz="0" w:space="0" w:color="auto"/>
        <w:left w:val="none" w:sz="0" w:space="0" w:color="auto"/>
        <w:bottom w:val="none" w:sz="0" w:space="0" w:color="auto"/>
        <w:right w:val="none" w:sz="0" w:space="0" w:color="auto"/>
      </w:divBdr>
    </w:div>
    <w:div w:id="2121950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Zha23</b:Tag>
    <b:SourceType>Report</b:SourceType>
    <b:Guid>{191AA565-D6B7-F741-AB33-FF306E5B395F}</b:Guid>
    <b:Author>
      <b:Author>
        <b:NameList>
          <b:Person>
            <b:Last>Zhang</b:Last>
            <b:First>Dawen</b:First>
          </b:Person>
          <b:Person>
            <b:Last>Finckenberg-Broman</b:Last>
            <b:First>Pamela</b:First>
          </b:Person>
          <b:Person>
            <b:Last>Hoang</b:Last>
            <b:First>Thong</b:First>
          </b:Person>
          <b:Person>
            <b:Last>Pan</b:Last>
            <b:First>Shidong</b:First>
          </b:Person>
          <b:Person>
            <b:Last>Xing</b:Last>
            <b:First>Zhenchang</b:First>
          </b:Person>
          <b:Person>
            <b:Last>Staples</b:Last>
            <b:First>Mark</b:First>
          </b:Person>
          <b:Person>
            <b:Last>Xu</b:Last>
            <b:First>Xiwei</b:First>
          </b:Person>
        </b:NameList>
      </b:Author>
    </b:Author>
    <b:Title>Right to be Forgotten in the Era of Large Language Models: Implications, Challenges, and Solutions</b:Title>
    <b:Year>2023</b:Year>
    <b:RefOrder>1</b:RefOrder>
  </b:Source>
  <b:Source>
    <b:Tag>Goo14</b:Tag>
    <b:SourceType>Case</b:SourceType>
    <b:Guid>{6CC293B3-F5F4-354F-B922-6935380EE5BE}</b:Guid>
    <b:Title>Google Spain SL and Google Inc. v Agencia Española de Protección de Datos (AEPD) and Mario Costeja González</b:Title>
    <b:Year>2014</b:Year>
    <b:CaseNumber>C-131/12</b:CaseNumber>
    <b:Court>Court of Justice of the European Union</b:Court>
    <b:Month>May</b:Month>
    <b:Day>13</b:Day>
    <b:RefOrder>2</b:RefOrder>
  </b:Source>
  <b:Source>
    <b:Tag>Eur16</b:Tag>
    <b:SourceType>DocumentFromInternetSite</b:SourceType>
    <b:Guid>{9BB8CA3A-04EB-1745-BE34-811F7FF3856E}</b:Guid>
    <b:Title>Regulation (EU) 2016/679, Article 17 – Right to erasure (‘right to be forgotten’)</b:Title>
    <b:Year>2016</b:Year>
    <b:Author>
      <b:Author>
        <b:Corporate>European Parliament and Council of the European Union</b:Corporate>
      </b:Author>
    </b:Author>
    <b:URL>https://eur-lex.europa.eu/eli/reg/2016/679/art_17/oj?utm_source=chatgpt.com</b:URL>
    <b:Month>April</b:Month>
    <b:Day>27</b:Day>
    <b:YearAccessed>2026</b:YearAccessed>
    <b:MonthAccessed>08</b:MonthAccessed>
    <b:DayAccessed>26</b:DayAccessed>
    <b:RefOrder>3</b:RefOrder>
  </b:Source>
  <b:Source>
    <b:Tag>XuJ24</b:Tag>
    <b:SourceType>Report</b:SourceType>
    <b:Guid>{52A7E8C3-0272-6149-9DCC-2406CEAED15F}</b:Guid>
    <b:Title>Machine Unlearning: Solutions and Challenges</b:Title>
    <b:Year>2024</b:Year>
    <b:Author>
      <b:Author>
        <b:NameList>
          <b:Person>
            <b:Last>Xu</b:Last>
            <b:First>Jie</b:First>
          </b:Person>
          <b:Person>
            <b:Last>Wu</b:Last>
            <b:First>Zihan</b:First>
          </b:Person>
          <b:Person>
            <b:Last>Wang</b:Last>
            <b:First>Cong</b:First>
          </b:Person>
          <b:Person>
            <b:Last>Jia</b:Last>
            <b:First>Xiaohua</b:First>
          </b:Person>
        </b:NameList>
      </b:Author>
    </b:Author>
    <b:RefOrder>4</b:RefOrder>
  </b:Source>
  <b:Source>
    <b:Tag>Ngu</b:Tag>
    <b:SourceType>Report</b:SourceType>
    <b:Guid>{D20F1D93-1B92-7546-9C35-F77F61AB68BC}</b:Guid>
    <b:Title>A Survey of Machine Unlearning</b:Title>
    <b:Author>
      <b:Author>
        <b:NameList>
          <b:Person>
            <b:Last>Nguyen</b:Last>
            <b:First>Thanh Tam</b:First>
          </b:Person>
          <b:Person>
            <b:Last>Huynh</b:Last>
            <b:First>Thanh Trung</b:First>
          </b:Person>
          <b:Person>
            <b:Last>Ren</b:Last>
            <b:First>Zhao</b:First>
          </b:Person>
          <b:Person>
            <b:Last>Nguyen</b:Last>
            <b:First>Phi Le</b:First>
          </b:Person>
          <b:Person>
            <b:Last>Liew</b:Last>
            <b:First>Alan Wee-Chung</b:First>
          </b:Person>
          <b:Person>
            <b:Last>Yin</b:Last>
            <b:First>Hongzhi</b:First>
          </b:Person>
          <b:Person>
            <b:Last>Nguyen</b:Last>
            <b:First>Quoc Viet Hung</b:First>
          </b:Person>
        </b:NameList>
      </b:Author>
    </b:Author>
    <b:Year>2024</b:Year>
    <b:RefOrder>5</b:RefOrder>
  </b:Source>
  <b:Source>
    <b:Tag>Bou20</b:Tag>
    <b:SourceType>Report</b:SourceType>
    <b:Guid>{76713823-DF79-4142-A8C6-C1E506D3A04F}</b:Guid>
    <b:Author>
      <b:Author>
        <b:NameList>
          <b:Person>
            <b:Last>Bourtoule</b:Last>
            <b:First>Lucas</b:First>
          </b:Person>
          <b:Person>
            <b:Last>Chandrasekaran</b:Last>
            <b:First>Varun</b:First>
          </b:Person>
          <b:Person>
            <b:Last>Choquette-Choo</b:Last>
            <b:First>Christopher</b:First>
            <b:Middle>A.</b:Middle>
          </b:Person>
          <b:Person>
            <b:Last>Jia</b:Last>
            <b:First>Hengrui</b:First>
          </b:Person>
          <b:Person>
            <b:Last>Travers</b:Last>
            <b:First>Adelin</b:First>
          </b:Person>
          <b:Person>
            <b:Last>Zhang</b:Last>
            <b:First>Baiwu</b:First>
          </b:Person>
          <b:Person>
            <b:Last>Lie</b:Last>
            <b:First>David</b:First>
          </b:Person>
          <b:Person>
            <b:Last>Papernot</b:Last>
            <b:First>Nicolas</b:First>
          </b:Person>
        </b:NameList>
      </b:Author>
    </b:Author>
    <b:Title>Machine Unlearning</b:Title>
    <b:Year>2020</b:Year>
    <b:RefOrder>6</b:RefOrder>
  </b:Source>
  <b:Source>
    <b:Tag>Mai24</b:Tag>
    <b:SourceType>Report</b:SourceType>
    <b:Guid>{588E393D-23C0-EA41-87CF-EC1D634E5000}</b:Guid>
    <b:Title>TOFU: A Task of Fictitious Unlearning for LLMs</b:Title>
    <b:Year>2024</b:Year>
    <b:Author>
      <b:Author>
        <b:NameList>
          <b:Person>
            <b:Last>Maini</b:Last>
            <b:First>Pratyush</b:First>
          </b:Person>
          <b:Person>
            <b:Last>Feng</b:Last>
            <b:First>Zhili</b:First>
          </b:Person>
          <b:Person>
            <b:Last>Lipton</b:Last>
            <b:First>Zachary C. </b:First>
          </b:Person>
          <b:Person>
            <b:Last>Kolter</b:Last>
            <b:First>J. Zico</b:First>
          </b:Person>
          <b:Person>
            <b:Last>Schwarzschild</b:Last>
            <b:First>Avi</b:First>
          </b:Person>
        </b:NameList>
      </b:Author>
    </b:Author>
    <b:RefOrder>7</b:RefOrder>
  </b:Source>
  <b:Source>
    <b:Tag>Shi24</b:Tag>
    <b:SourceType>Report</b:SourceType>
    <b:Guid>{CEB47491-5693-9747-A2FC-585452228567}</b:Guid>
    <b:Title>MUSE: Machine Unlearning Six-Way Evaluation for Language Models</b:Title>
    <b:Year>2024</b:Year>
    <b:Author>
      <b:Author>
        <b:NameList>
          <b:Person>
            <b:Last>Shi</b:Last>
            <b:First>Weijia</b:First>
          </b:Person>
          <b:Person>
            <b:Last>Lee</b:Last>
            <b:First>Jaechan</b:First>
          </b:Person>
          <b:Person>
            <b:Last>Huang</b:Last>
            <b:First>Yangsibo</b:First>
          </b:Person>
          <b:Person>
            <b:Last>Malladi</b:Last>
            <b:First>Sadhika</b:First>
          </b:Person>
          <b:Person>
            <b:Last>Zhao</b:Last>
            <b:First>Jieyu</b:First>
          </b:Person>
          <b:Person>
            <b:Last>Holtzman</b:Last>
            <b:First>Ari</b:First>
          </b:Person>
          <b:Person>
            <b:Last>Liu</b:Last>
            <b:First>Daogao</b:First>
          </b:Person>
          <b:Person>
            <b:Last>Zettlemoyer</b:Last>
            <b:First>Luke</b:First>
          </b:Person>
          <b:Person>
            <b:Last>Smith</b:Last>
            <b:First>Noah A.</b:First>
          </b:Person>
          <b:Person>
            <b:Last>Zhang</b:Last>
            <b:First>Chiyuan</b:First>
          </b:Person>
        </b:NameList>
      </b:Author>
    </b:Author>
    <b:RefOrder>8</b:RefOrder>
  </b:Source>
</b:Sources>
</file>

<file path=customXml/itemProps1.xml><?xml version="1.0" encoding="utf-8"?>
<ds:datastoreItem xmlns:ds="http://schemas.openxmlformats.org/officeDocument/2006/customXml" ds:itemID="{98AD44D0-2044-554D-8995-11BB55E34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9</Pages>
  <Words>2503</Words>
  <Characters>14270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Niamh Hughes</dc:creator>
  <cp:keywords/>
  <dc:description/>
  <cp:lastModifiedBy>Niamh Hughes</cp:lastModifiedBy>
  <cp:revision>1</cp:revision>
  <dcterms:created xsi:type="dcterms:W3CDTF">2026-08-26T10:43:00Z</dcterms:created>
  <dcterms:modified xsi:type="dcterms:W3CDTF">2026-08-26T20:06:00Z</dcterms:modified>
</cp:coreProperties>
</file>