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5887" w14:textId="77777777" w:rsidR="00A33BA3" w:rsidRDefault="00000000">
      <w:pPr>
        <w:spacing w:before="520"/>
        <w:jc w:val="center"/>
      </w:pPr>
      <w:r>
        <w:rPr>
          <w:b/>
          <w:color w:val="2E5E3F"/>
          <w:sz w:val="26"/>
        </w:rPr>
        <w:t>MSc Artificial Intelligence | Project Proposal</w:t>
      </w:r>
    </w:p>
    <w:p w14:paraId="46D1E4DF" w14:textId="77777777" w:rsidR="00A33BA3" w:rsidRDefault="00000000">
      <w:pPr>
        <w:spacing w:after="40"/>
        <w:jc w:val="center"/>
      </w:pPr>
      <w:r>
        <w:rPr>
          <w:b/>
          <w:color w:val="141414"/>
          <w:sz w:val="43"/>
        </w:rPr>
        <w:t>Practical Benchmarking of Approximate Machine Unlearning for Auditable Enterprise ML Erasure Workflows</w:t>
      </w:r>
    </w:p>
    <w:p w14:paraId="7D4610D4" w14:textId="77777777" w:rsidR="00A33BA3" w:rsidRDefault="00000000">
      <w:pPr>
        <w:jc w:val="center"/>
      </w:pPr>
      <w:r>
        <w:rPr>
          <w:i/>
          <w:color w:val="505050"/>
          <w:sz w:val="22"/>
        </w:rPr>
        <w:t>A scoped 12-week experimental study for tabular classification models</w:t>
      </w:r>
    </w:p>
    <w:tbl>
      <w:tblPr>
        <w:tblStyle w:val="TableGrid"/>
        <w:tblW w:w="0" w:type="auto"/>
        <w:jc w:val="center"/>
        <w:tblLook w:val="04A0" w:firstRow="1" w:lastRow="0" w:firstColumn="1" w:lastColumn="0" w:noHBand="0" w:noVBand="1"/>
      </w:tblPr>
      <w:tblGrid>
        <w:gridCol w:w="2448"/>
        <w:gridCol w:w="6768"/>
      </w:tblGrid>
      <w:tr w:rsidR="00A33BA3" w14:paraId="5EC16208" w14:textId="77777777">
        <w:trPr>
          <w:jc w:val="center"/>
        </w:trPr>
        <w:tc>
          <w:tcPr>
            <w:tcW w:w="2448" w:type="dxa"/>
            <w:shd w:val="clear" w:color="auto" w:fill="F2F7F2"/>
            <w:tcMar>
              <w:top w:w="60" w:type="dxa"/>
              <w:left w:w="70" w:type="dxa"/>
              <w:bottom w:w="60" w:type="dxa"/>
              <w:right w:w="70" w:type="dxa"/>
            </w:tcMar>
          </w:tcPr>
          <w:p w14:paraId="0400A2B6" w14:textId="77777777" w:rsidR="00A33BA3" w:rsidRDefault="00000000">
            <w:r>
              <w:rPr>
                <w:b/>
                <w:sz w:val="17"/>
              </w:rPr>
              <w:t>Student</w:t>
            </w:r>
          </w:p>
        </w:tc>
        <w:tc>
          <w:tcPr>
            <w:tcW w:w="6768" w:type="dxa"/>
            <w:tcMar>
              <w:top w:w="60" w:type="dxa"/>
              <w:left w:w="70" w:type="dxa"/>
              <w:bottom w:w="60" w:type="dxa"/>
              <w:right w:w="70" w:type="dxa"/>
            </w:tcMar>
          </w:tcPr>
          <w:p w14:paraId="276EBFD0" w14:textId="77777777" w:rsidR="00A33BA3" w:rsidRDefault="00000000">
            <w:r>
              <w:rPr>
                <w:sz w:val="17"/>
              </w:rPr>
              <w:t>Niamh Hughes</w:t>
            </w:r>
          </w:p>
        </w:tc>
      </w:tr>
      <w:tr w:rsidR="00A33BA3" w14:paraId="12131C61" w14:textId="77777777">
        <w:trPr>
          <w:jc w:val="center"/>
        </w:trPr>
        <w:tc>
          <w:tcPr>
            <w:tcW w:w="2448" w:type="dxa"/>
            <w:shd w:val="clear" w:color="auto" w:fill="F2F7F2"/>
            <w:tcMar>
              <w:top w:w="60" w:type="dxa"/>
              <w:left w:w="70" w:type="dxa"/>
              <w:bottom w:w="60" w:type="dxa"/>
              <w:right w:w="70" w:type="dxa"/>
            </w:tcMar>
          </w:tcPr>
          <w:p w14:paraId="3BDAB415" w14:textId="77777777" w:rsidR="00A33BA3" w:rsidRDefault="00000000">
            <w:r>
              <w:rPr>
                <w:b/>
                <w:sz w:val="17"/>
              </w:rPr>
              <w:t>Module</w:t>
            </w:r>
          </w:p>
        </w:tc>
        <w:tc>
          <w:tcPr>
            <w:tcW w:w="6768" w:type="dxa"/>
            <w:tcMar>
              <w:top w:w="60" w:type="dxa"/>
              <w:left w:w="70" w:type="dxa"/>
              <w:bottom w:w="60" w:type="dxa"/>
              <w:right w:w="70" w:type="dxa"/>
            </w:tcMar>
          </w:tcPr>
          <w:p w14:paraId="503B680A" w14:textId="77777777" w:rsidR="00A33BA3" w:rsidRDefault="00000000">
            <w:r>
              <w:rPr>
                <w:sz w:val="17"/>
              </w:rPr>
              <w:t>ECS8056 - Themed Research Project 2025-2026</w:t>
            </w:r>
          </w:p>
        </w:tc>
      </w:tr>
      <w:tr w:rsidR="00A33BA3" w14:paraId="05291D2E" w14:textId="77777777">
        <w:trPr>
          <w:jc w:val="center"/>
        </w:trPr>
        <w:tc>
          <w:tcPr>
            <w:tcW w:w="2448" w:type="dxa"/>
            <w:shd w:val="clear" w:color="auto" w:fill="F2F7F2"/>
            <w:tcMar>
              <w:top w:w="60" w:type="dxa"/>
              <w:left w:w="70" w:type="dxa"/>
              <w:bottom w:w="60" w:type="dxa"/>
              <w:right w:w="70" w:type="dxa"/>
            </w:tcMar>
          </w:tcPr>
          <w:p w14:paraId="0234796D" w14:textId="77777777" w:rsidR="00A33BA3" w:rsidRDefault="00000000">
            <w:r>
              <w:rPr>
                <w:b/>
                <w:sz w:val="17"/>
              </w:rPr>
              <w:t>Programme</w:t>
            </w:r>
          </w:p>
        </w:tc>
        <w:tc>
          <w:tcPr>
            <w:tcW w:w="6768" w:type="dxa"/>
            <w:tcMar>
              <w:top w:w="60" w:type="dxa"/>
              <w:left w:w="70" w:type="dxa"/>
              <w:bottom w:w="60" w:type="dxa"/>
              <w:right w:w="70" w:type="dxa"/>
            </w:tcMar>
          </w:tcPr>
          <w:p w14:paraId="32230950" w14:textId="77777777" w:rsidR="00A33BA3" w:rsidRDefault="00000000">
            <w:r>
              <w:rPr>
                <w:sz w:val="17"/>
              </w:rPr>
              <w:t>MSc Artificial Intelligence, Queen's University Belfast</w:t>
            </w:r>
          </w:p>
        </w:tc>
      </w:tr>
      <w:tr w:rsidR="00A33BA3" w14:paraId="57AE8EFE" w14:textId="77777777">
        <w:trPr>
          <w:jc w:val="center"/>
        </w:trPr>
        <w:tc>
          <w:tcPr>
            <w:tcW w:w="2448" w:type="dxa"/>
            <w:shd w:val="clear" w:color="auto" w:fill="F2F7F2"/>
            <w:tcMar>
              <w:top w:w="60" w:type="dxa"/>
              <w:left w:w="70" w:type="dxa"/>
              <w:bottom w:w="60" w:type="dxa"/>
              <w:right w:w="70" w:type="dxa"/>
            </w:tcMar>
          </w:tcPr>
          <w:p w14:paraId="15513366" w14:textId="77777777" w:rsidR="00A33BA3" w:rsidRDefault="00000000">
            <w:r>
              <w:rPr>
                <w:b/>
                <w:sz w:val="17"/>
              </w:rPr>
              <w:t>Industry Partner</w:t>
            </w:r>
          </w:p>
        </w:tc>
        <w:tc>
          <w:tcPr>
            <w:tcW w:w="6768" w:type="dxa"/>
            <w:tcMar>
              <w:top w:w="60" w:type="dxa"/>
              <w:left w:w="70" w:type="dxa"/>
              <w:bottom w:w="60" w:type="dxa"/>
              <w:right w:w="70" w:type="dxa"/>
            </w:tcMar>
          </w:tcPr>
          <w:p w14:paraId="672D80AE" w14:textId="77777777" w:rsidR="00A33BA3" w:rsidRDefault="00000000">
            <w:r>
              <w:rPr>
                <w:sz w:val="17"/>
              </w:rPr>
              <w:t>ISx4 - AI &amp; Analytics, Belfast</w:t>
            </w:r>
          </w:p>
        </w:tc>
      </w:tr>
      <w:tr w:rsidR="00A33BA3" w14:paraId="258870B6" w14:textId="77777777">
        <w:trPr>
          <w:jc w:val="center"/>
        </w:trPr>
        <w:tc>
          <w:tcPr>
            <w:tcW w:w="2448" w:type="dxa"/>
            <w:shd w:val="clear" w:color="auto" w:fill="F2F7F2"/>
            <w:tcMar>
              <w:top w:w="60" w:type="dxa"/>
              <w:left w:w="70" w:type="dxa"/>
              <w:bottom w:w="60" w:type="dxa"/>
              <w:right w:w="70" w:type="dxa"/>
            </w:tcMar>
          </w:tcPr>
          <w:p w14:paraId="5EB082CF" w14:textId="77777777" w:rsidR="00A33BA3" w:rsidRDefault="00000000">
            <w:r>
              <w:rPr>
                <w:b/>
                <w:sz w:val="17"/>
              </w:rPr>
              <w:t>Proposed Supervisor</w:t>
            </w:r>
          </w:p>
        </w:tc>
        <w:tc>
          <w:tcPr>
            <w:tcW w:w="6768" w:type="dxa"/>
            <w:tcMar>
              <w:top w:w="60" w:type="dxa"/>
              <w:left w:w="70" w:type="dxa"/>
              <w:bottom w:w="60" w:type="dxa"/>
              <w:right w:w="70" w:type="dxa"/>
            </w:tcMar>
          </w:tcPr>
          <w:p w14:paraId="3497258D" w14:textId="77777777" w:rsidR="00A33BA3" w:rsidRDefault="00000000">
            <w:r>
              <w:rPr>
                <w:sz w:val="17"/>
              </w:rPr>
              <w:t>Dr Awais Rauf, School of EEECS, Queen's University Belfast</w:t>
            </w:r>
          </w:p>
        </w:tc>
      </w:tr>
      <w:tr w:rsidR="00A33BA3" w14:paraId="43EF448F" w14:textId="77777777">
        <w:trPr>
          <w:jc w:val="center"/>
        </w:trPr>
        <w:tc>
          <w:tcPr>
            <w:tcW w:w="2448" w:type="dxa"/>
            <w:shd w:val="clear" w:color="auto" w:fill="F2F7F2"/>
            <w:tcMar>
              <w:top w:w="60" w:type="dxa"/>
              <w:left w:w="70" w:type="dxa"/>
              <w:bottom w:w="60" w:type="dxa"/>
              <w:right w:w="70" w:type="dxa"/>
            </w:tcMar>
          </w:tcPr>
          <w:p w14:paraId="7E58AB76" w14:textId="77777777" w:rsidR="00A33BA3" w:rsidRDefault="00000000">
            <w:r>
              <w:rPr>
                <w:b/>
                <w:sz w:val="17"/>
              </w:rPr>
              <w:t>Date</w:t>
            </w:r>
          </w:p>
        </w:tc>
        <w:tc>
          <w:tcPr>
            <w:tcW w:w="6768" w:type="dxa"/>
            <w:tcMar>
              <w:top w:w="60" w:type="dxa"/>
              <w:left w:w="70" w:type="dxa"/>
              <w:bottom w:w="60" w:type="dxa"/>
              <w:right w:w="70" w:type="dxa"/>
            </w:tcMar>
          </w:tcPr>
          <w:p w14:paraId="2AB6DAA9" w14:textId="77777777" w:rsidR="00A33BA3" w:rsidRDefault="00000000">
            <w:r>
              <w:rPr>
                <w:sz w:val="17"/>
              </w:rPr>
              <w:t>May 2026</w:t>
            </w:r>
          </w:p>
        </w:tc>
      </w:tr>
    </w:tbl>
    <w:p w14:paraId="53E6B352" w14:textId="77777777" w:rsidR="00A33BA3" w:rsidRDefault="00A33BA3">
      <w:pPr>
        <w:spacing w:after="40"/>
      </w:pPr>
    </w:p>
    <w:p w14:paraId="547A24DC" w14:textId="77777777" w:rsidR="00A33BA3" w:rsidRDefault="00000000">
      <w:r>
        <w:br w:type="page"/>
      </w:r>
    </w:p>
    <w:p w14:paraId="6CE4DE1E" w14:textId="77777777" w:rsidR="00A33BA3" w:rsidRDefault="00000000">
      <w:pPr>
        <w:pStyle w:val="Heading1"/>
      </w:pPr>
      <w:r>
        <w:rPr>
          <w:rFonts w:ascii="Arial" w:eastAsia="Arial" w:hAnsi="Arial"/>
        </w:rPr>
        <w:lastRenderedPageBreak/>
        <w:t>1. Project Summary</w:t>
      </w:r>
    </w:p>
    <w:p w14:paraId="232A08B4" w14:textId="77777777" w:rsidR="00A33BA3" w:rsidRDefault="00000000">
      <w:pPr>
        <w:spacing w:after="110" w:line="250" w:lineRule="auto"/>
      </w:pPr>
      <w:r>
        <w:t xml:space="preserve">Machine-learning systems trained on </w:t>
      </w:r>
      <w:proofErr w:type="gramStart"/>
      <w:r>
        <w:t>personal</w:t>
      </w:r>
      <w:proofErr w:type="gramEnd"/>
      <w:r>
        <w:t xml:space="preserve"> or user-level data create a practical problem for organisations: when a deletion or erasure request is received, deleting the raw record may not be enough if the trained model still reflects information learned from that record. Full retraining on the remaining data is the cleanest technical baseline, but it can be slow, expensive, and operationally disruptive. Machine unlearning studies whether the influence of selected training data can be removed more efficiently than retraining from scratch </w:t>
      </w:r>
      <w:hyperlink w:anchor="ref1" w:history="1">
        <w:r w:rsidR="00A33BA3">
          <w:rPr>
            <w:color w:val="0563C1"/>
            <w:u w:val="single"/>
          </w:rPr>
          <w:t>[1]</w:t>
        </w:r>
      </w:hyperlink>
      <w:r>
        <w:t xml:space="preserve">, </w:t>
      </w:r>
      <w:hyperlink w:anchor="ref2" w:history="1">
        <w:r w:rsidR="00A33BA3">
          <w:rPr>
            <w:color w:val="0563C1"/>
            <w:u w:val="single"/>
          </w:rPr>
          <w:t>[2]</w:t>
        </w:r>
      </w:hyperlink>
      <w:r>
        <w:t xml:space="preserve">, </w:t>
      </w:r>
      <w:hyperlink w:anchor="ref3" w:history="1">
        <w:r w:rsidR="00A33BA3">
          <w:rPr>
            <w:color w:val="0563C1"/>
            <w:u w:val="single"/>
          </w:rPr>
          <w:t>[3]</w:t>
        </w:r>
      </w:hyperlink>
      <w:r>
        <w:t>.</w:t>
      </w:r>
    </w:p>
    <w:p w14:paraId="1E9CB922" w14:textId="77777777" w:rsidR="00A33BA3" w:rsidRDefault="00000000">
      <w:pPr>
        <w:spacing w:after="110" w:line="250" w:lineRule="auto"/>
      </w:pPr>
      <w:r>
        <w:t xml:space="preserve">This project will </w:t>
      </w:r>
      <w:r w:rsidRPr="00C528ED">
        <w:t>implement</w:t>
      </w:r>
      <w:r w:rsidRPr="00C528ED">
        <w:rPr>
          <w:highlight w:val="magenta"/>
        </w:rPr>
        <w:t xml:space="preserve"> a small, reproducible benchmarking framework</w:t>
      </w:r>
      <w:r>
        <w:t xml:space="preserve"> </w:t>
      </w:r>
      <w:r w:rsidRPr="00C528ED">
        <w:t xml:space="preserve">for </w:t>
      </w:r>
      <w:r w:rsidRPr="00C528ED">
        <w:rPr>
          <w:highlight w:val="magenta"/>
        </w:rPr>
        <w:t>approximate machine unlearning</w:t>
      </w:r>
      <w:r>
        <w:t xml:space="preserve"> in </w:t>
      </w:r>
      <w:r w:rsidRPr="00C528ED">
        <w:rPr>
          <w:highlight w:val="magenta"/>
        </w:rPr>
        <w:t>tabular neural-network classification</w:t>
      </w:r>
      <w:r>
        <w:t xml:space="preserve">. It will </w:t>
      </w:r>
      <w:r w:rsidRPr="00C528ED">
        <w:t>compare</w:t>
      </w:r>
      <w:r w:rsidRPr="00C528ED">
        <w:rPr>
          <w:highlight w:val="yellow"/>
        </w:rPr>
        <w:t xml:space="preserve"> lightweight unlearning</w:t>
      </w:r>
      <w:r>
        <w:t xml:space="preserve"> approaches </w:t>
      </w:r>
      <w:r w:rsidRPr="00C528ED">
        <w:t xml:space="preserve">with </w:t>
      </w:r>
      <w:r w:rsidRPr="00C528ED">
        <w:rPr>
          <w:highlight w:val="yellow"/>
        </w:rPr>
        <w:t>full retraining</w:t>
      </w:r>
      <w:r>
        <w:t xml:space="preserve">, </w:t>
      </w:r>
      <w:r w:rsidRPr="00C528ED">
        <w:t>measuring</w:t>
      </w:r>
      <w:r w:rsidRPr="00C528ED">
        <w:rPr>
          <w:highlight w:val="yellow"/>
        </w:rPr>
        <w:t xml:space="preserve"> four dimensions:</w:t>
      </w:r>
      <w:r>
        <w:t xml:space="preserve"> </w:t>
      </w:r>
      <w:r w:rsidRPr="00FA562B">
        <w:rPr>
          <w:highlight w:val="cyan"/>
        </w:rPr>
        <w:t>model utility</w:t>
      </w:r>
      <w:r>
        <w:t xml:space="preserve">, </w:t>
      </w:r>
      <w:r w:rsidRPr="00FA562B">
        <w:rPr>
          <w:highlight w:val="cyan"/>
        </w:rPr>
        <w:t>similarity to the retrained model</w:t>
      </w:r>
      <w:r>
        <w:t xml:space="preserve">, </w:t>
      </w:r>
      <w:r w:rsidRPr="00FA562B">
        <w:rPr>
          <w:highlight w:val="cyan"/>
        </w:rPr>
        <w:t>membership-inference signal</w:t>
      </w:r>
      <w:r>
        <w:t xml:space="preserve">, and </w:t>
      </w:r>
      <w:r w:rsidRPr="00FA562B">
        <w:rPr>
          <w:highlight w:val="cyan"/>
        </w:rPr>
        <w:t>runtime</w:t>
      </w:r>
      <w:r>
        <w:t>. The project will focus on one public tabular dataset and one PyTorch multilayer perceptron classifier to keep the work achievable within a 12-week MSc timeline.</w:t>
      </w:r>
    </w:p>
    <w:p w14:paraId="7D771BB9" w14:textId="77777777" w:rsidR="00A33BA3" w:rsidRDefault="00000000">
      <w:pPr>
        <w:spacing w:after="110" w:line="250" w:lineRule="auto"/>
      </w:pPr>
      <w:r>
        <w:t xml:space="preserve">The expected outcome is a research paper and a compact research artefact that can help ISx4 discuss auditable model-erasure workflows with clients. The project does not claim that any algorithm alone satisfies GDPR or UK GDPR obligations; rather, it evaluates whether approximate unlearning methods can provide useful evidence within a broader governance, logging, validation, and compliance process </w:t>
      </w:r>
      <w:hyperlink w:anchor="ref8" w:history="1">
        <w:r w:rsidR="00A33BA3">
          <w:rPr>
            <w:color w:val="0563C1"/>
            <w:u w:val="single"/>
          </w:rPr>
          <w:t>[8]</w:t>
        </w:r>
      </w:hyperlink>
      <w:r>
        <w:t xml:space="preserve">, </w:t>
      </w:r>
      <w:hyperlink w:anchor="ref9" w:history="1">
        <w:r w:rsidR="00A33BA3">
          <w:rPr>
            <w:color w:val="0563C1"/>
            <w:u w:val="single"/>
          </w:rPr>
          <w:t>[9]</w:t>
        </w:r>
      </w:hyperlink>
      <w:r>
        <w:t>.</w:t>
      </w:r>
    </w:p>
    <w:p w14:paraId="5D6F8842" w14:textId="77777777" w:rsidR="00A33BA3" w:rsidRDefault="00000000">
      <w:pPr>
        <w:pStyle w:val="Heading1"/>
      </w:pPr>
      <w:r>
        <w:rPr>
          <w:rFonts w:ascii="Arial" w:eastAsia="Arial" w:hAnsi="Arial"/>
        </w:rPr>
        <w:t>2. Motivation and Background</w:t>
      </w:r>
    </w:p>
    <w:p w14:paraId="1ACB3627" w14:textId="77777777" w:rsidR="00A33BA3" w:rsidRDefault="00000000">
      <w:pPr>
        <w:spacing w:after="110" w:line="250" w:lineRule="auto"/>
      </w:pPr>
      <w:r>
        <w:t xml:space="preserve">The right to erasure under Article 17 of the GDPR creates a governance obligation for organisations to respond appropriately when personal data should no longer be processed </w:t>
      </w:r>
      <w:hyperlink w:anchor="ref8" w:history="1">
        <w:r w:rsidR="00A33BA3">
          <w:rPr>
            <w:color w:val="0563C1"/>
            <w:u w:val="single"/>
          </w:rPr>
          <w:t>[8]</w:t>
        </w:r>
      </w:hyperlink>
      <w:r>
        <w:t>. In machine-learning pipelines, this obligation is technically complicated because a trained model may encode statistical influence from records that are no longer present in the raw dataset. A conservative technical response is to remove the relevant records and retrain the model from scratch. This provides a strong baseline but can be costly for deployed or frequently updated systems.</w:t>
      </w:r>
    </w:p>
    <w:p w14:paraId="00E93869" w14:textId="77777777" w:rsidR="00A33BA3" w:rsidRDefault="00000000">
      <w:pPr>
        <w:spacing w:after="110" w:line="250" w:lineRule="auto"/>
      </w:pPr>
      <w:r>
        <w:t xml:space="preserve">Machine unlearning provides a technical framing for this problem. Cao and Yang introduced the idea of making systems forget selected data </w:t>
      </w:r>
      <w:hyperlink w:anchor="ref1" w:history="1">
        <w:r w:rsidR="00A33BA3">
          <w:rPr>
            <w:color w:val="0563C1"/>
            <w:u w:val="single"/>
          </w:rPr>
          <w:t>[1]</w:t>
        </w:r>
      </w:hyperlink>
      <w:r>
        <w:t xml:space="preserve">. Ginart et al. framed data deletion in machine learning and argued that full retraining can be computationally impractical </w:t>
      </w:r>
      <w:hyperlink w:anchor="ref2" w:history="1">
        <w:r w:rsidR="00A33BA3">
          <w:rPr>
            <w:color w:val="0563C1"/>
            <w:u w:val="single"/>
          </w:rPr>
          <w:t>[2]</w:t>
        </w:r>
      </w:hyperlink>
      <w:r>
        <w:t xml:space="preserve">. Bourtoule et al. introduced SISA training, a sharded approach designed to reduce the amount of retraining needed after an unlearning request </w:t>
      </w:r>
      <w:hyperlink w:anchor="ref3" w:history="1">
        <w:r w:rsidR="00A33BA3">
          <w:rPr>
            <w:color w:val="0563C1"/>
            <w:u w:val="single"/>
          </w:rPr>
          <w:t>[3]</w:t>
        </w:r>
      </w:hyperlink>
      <w:r>
        <w:t xml:space="preserve">. Golatkar et al. studied selective forgetting in deep networks using approximations to remove information from weights </w:t>
      </w:r>
      <w:hyperlink w:anchor="ref4" w:history="1">
        <w:r w:rsidR="00A33BA3">
          <w:rPr>
            <w:color w:val="0563C1"/>
            <w:u w:val="single"/>
          </w:rPr>
          <w:t>[4]</w:t>
        </w:r>
      </w:hyperlink>
      <w:r>
        <w:t>.</w:t>
      </w:r>
    </w:p>
    <w:p w14:paraId="0E25B724" w14:textId="77777777" w:rsidR="00A33BA3" w:rsidRDefault="00000000">
      <w:pPr>
        <w:spacing w:after="110" w:line="250" w:lineRule="auto"/>
      </w:pPr>
      <w:r>
        <w:t xml:space="preserve">Evaluation is non-trivial. Shokri et al. showed that trained models can leak whether a sample was part of the training set through membership-inference attacks </w:t>
      </w:r>
      <w:hyperlink w:anchor="ref5" w:history="1">
        <w:r w:rsidR="00A33BA3">
          <w:rPr>
            <w:color w:val="0563C1"/>
            <w:u w:val="single"/>
          </w:rPr>
          <w:t>[5]</w:t>
        </w:r>
      </w:hyperlink>
      <w:r>
        <w:t xml:space="preserve">. Carlini et al. later argued that attack evaluation should be more careful than average-case accuracy alone, especially at low false-positive rates </w:t>
      </w:r>
      <w:hyperlink w:anchor="ref6" w:history="1">
        <w:r w:rsidR="00A33BA3">
          <w:rPr>
            <w:color w:val="0563C1"/>
            <w:u w:val="single"/>
          </w:rPr>
          <w:t>[6]</w:t>
        </w:r>
      </w:hyperlink>
      <w:r>
        <w:t xml:space="preserve">. Recent benchmark work such as Deep Unlearn also shows that unlearning performance varies by method, architecture, dataset, hyperparameter choice, and metric </w:t>
      </w:r>
      <w:hyperlink w:anchor="ref7" w:history="1">
        <w:r w:rsidR="00A33BA3">
          <w:rPr>
            <w:color w:val="0563C1"/>
            <w:u w:val="single"/>
          </w:rPr>
          <w:t>[7]</w:t>
        </w:r>
      </w:hyperlink>
      <w:r>
        <w:t>. This MSc project therefore makes a modest, clearly bounded contribution: a practical tabular benchmark, not a claim to settle the wider field.</w:t>
      </w:r>
    </w:p>
    <w:p w14:paraId="57EF8CE3" w14:textId="77777777" w:rsidR="00A33BA3" w:rsidRDefault="00000000">
      <w:pPr>
        <w:pStyle w:val="Heading1"/>
      </w:pPr>
      <w:r>
        <w:rPr>
          <w:rFonts w:ascii="Arial" w:eastAsia="Arial" w:hAnsi="Arial"/>
        </w:rPr>
        <w:t>3. Problem Statement</w:t>
      </w:r>
    </w:p>
    <w:p w14:paraId="1BFCB746" w14:textId="77777777" w:rsidR="00A33BA3" w:rsidRDefault="00000000">
      <w:pPr>
        <w:spacing w:after="110" w:line="250" w:lineRule="auto"/>
      </w:pPr>
      <w:r>
        <w:t>The project addresses the following research problem:</w:t>
      </w:r>
    </w:p>
    <w:tbl>
      <w:tblPr>
        <w:tblW w:w="0" w:type="auto"/>
        <w:jc w:val="center"/>
        <w:tblLook w:val="04A0" w:firstRow="1" w:lastRow="0" w:firstColumn="1" w:lastColumn="0" w:noHBand="0" w:noVBand="1"/>
      </w:tblPr>
      <w:tblGrid>
        <w:gridCol w:w="10166"/>
      </w:tblGrid>
      <w:tr w:rsidR="00A33BA3" w14:paraId="7B8453DB" w14:textId="77777777">
        <w:trPr>
          <w:jc w:val="center"/>
        </w:trPr>
        <w:tc>
          <w:tcPr>
            <w:tcW w:w="10166" w:type="dxa"/>
            <w:shd w:val="clear" w:color="auto" w:fill="EAF3EA"/>
            <w:tcMar>
              <w:top w:w="100" w:type="dxa"/>
              <w:left w:w="120" w:type="dxa"/>
              <w:bottom w:w="100" w:type="dxa"/>
              <w:right w:w="120" w:type="dxa"/>
            </w:tcMar>
          </w:tcPr>
          <w:p w14:paraId="490FA948" w14:textId="77777777" w:rsidR="00A33BA3" w:rsidRDefault="00000000">
            <w:pPr>
              <w:spacing w:after="40"/>
            </w:pPr>
            <w:r>
              <w:rPr>
                <w:b/>
                <w:color w:val="2E5E3F"/>
                <w:sz w:val="20"/>
              </w:rPr>
              <w:t>Research problem</w:t>
            </w:r>
          </w:p>
          <w:p w14:paraId="78DE197A" w14:textId="77777777" w:rsidR="00A33BA3" w:rsidRDefault="00000000">
            <w:pPr>
              <w:spacing w:after="0"/>
            </w:pPr>
            <w:bookmarkStart w:id="0" w:name="OLE_LINK1"/>
            <w:r>
              <w:t>For tabular neural-network classifiers, how close can lightweight approximate machine-unlearning methods get to the full-retraining baseline when evaluated by utility retention, behavioural similarity to retraining, membership-inference signal, and runtime?</w:t>
            </w:r>
            <w:bookmarkEnd w:id="0"/>
          </w:p>
        </w:tc>
      </w:tr>
    </w:tbl>
    <w:p w14:paraId="1E91E009" w14:textId="77777777" w:rsidR="00A33BA3" w:rsidRDefault="00A33BA3">
      <w:pPr>
        <w:spacing w:after="40"/>
      </w:pPr>
    </w:p>
    <w:p w14:paraId="5D4C8D43" w14:textId="77777777" w:rsidR="00A33BA3" w:rsidRDefault="00000000">
      <w:pPr>
        <w:spacing w:after="110" w:line="250" w:lineRule="auto"/>
      </w:pPr>
      <w:r>
        <w:t>This problem is intentionally narrower than the original enterprise-wide framing. The project will not attempt to solve unlearning for large language models, computer-vision foundation models, gradient-boosted trees, or arbitrary production pipelines. It will instead produce a reproducible empirical study that can be completed and critically evaluated within the MSc period.</w:t>
      </w:r>
    </w:p>
    <w:p w14:paraId="5CD434EE" w14:textId="77777777" w:rsidR="00A33BA3" w:rsidRDefault="00000000">
      <w:pPr>
        <w:pStyle w:val="Heading1"/>
      </w:pPr>
      <w:r>
        <w:rPr>
          <w:rFonts w:ascii="Arial" w:eastAsia="Arial" w:hAnsi="Arial"/>
        </w:rPr>
        <w:t>4. Aim, Research Questions and Objectives</w:t>
      </w:r>
    </w:p>
    <w:p w14:paraId="53FF7663" w14:textId="77777777" w:rsidR="00A33BA3" w:rsidRDefault="00000000">
      <w:pPr>
        <w:pStyle w:val="Heading2"/>
      </w:pPr>
      <w:r>
        <w:rPr>
          <w:rFonts w:ascii="Arial" w:eastAsia="Arial" w:hAnsi="Arial"/>
        </w:rPr>
        <w:t>4.1 Aim</w:t>
      </w:r>
    </w:p>
    <w:p w14:paraId="0A6D8B56" w14:textId="77777777" w:rsidR="00A33BA3" w:rsidRDefault="00000000">
      <w:pPr>
        <w:spacing w:after="110" w:line="250" w:lineRule="auto"/>
      </w:pPr>
      <w:r>
        <w:t>To design, implement, and evaluate a reproducible benchmark for lightweight approximate machine-unlearning methods on a tabular neural-network classification task, using full retraining as the gold-standard technical baseline.</w:t>
      </w:r>
    </w:p>
    <w:p w14:paraId="27870DC7" w14:textId="77777777" w:rsidR="00A33BA3" w:rsidRDefault="00000000">
      <w:pPr>
        <w:pStyle w:val="Heading2"/>
      </w:pPr>
      <w:r>
        <w:rPr>
          <w:rFonts w:ascii="Arial" w:eastAsia="Arial" w:hAnsi="Arial"/>
        </w:rPr>
        <w:t>4.2 Research Questions</w:t>
      </w:r>
    </w:p>
    <w:p w14:paraId="0328533A" w14:textId="77777777" w:rsidR="00A33BA3" w:rsidRDefault="00000000">
      <w:pPr>
        <w:pStyle w:val="ListBullet"/>
        <w:spacing w:after="60"/>
      </w:pPr>
      <w:r>
        <w:rPr>
          <w:b/>
        </w:rPr>
        <w:t xml:space="preserve">RQ1 - Utility: </w:t>
      </w:r>
      <w:r>
        <w:t>How much test-set and retain-set performance is lost after applying each unlearning method?</w:t>
      </w:r>
    </w:p>
    <w:p w14:paraId="3D0D99EF" w14:textId="77777777" w:rsidR="00A33BA3" w:rsidRDefault="00000000">
      <w:pPr>
        <w:pStyle w:val="ListBullet"/>
        <w:spacing w:after="60"/>
      </w:pPr>
      <w:r>
        <w:rPr>
          <w:b/>
        </w:rPr>
        <w:lastRenderedPageBreak/>
        <w:t xml:space="preserve">RQ2 - Retrain similarity: </w:t>
      </w:r>
      <w:r>
        <w:t>How similar is each unlearned model to a model retrained from scratch without the forget set?</w:t>
      </w:r>
    </w:p>
    <w:p w14:paraId="4DD732B4" w14:textId="77777777" w:rsidR="00A33BA3" w:rsidRDefault="00000000">
      <w:pPr>
        <w:pStyle w:val="ListBullet"/>
        <w:spacing w:after="60"/>
      </w:pPr>
      <w:r>
        <w:rPr>
          <w:b/>
        </w:rPr>
        <w:t xml:space="preserve">RQ3 - Privacy signal: </w:t>
      </w:r>
      <w:r>
        <w:t>Does unlearning reduce the membership-inference signal associated with forgotten records?</w:t>
      </w:r>
    </w:p>
    <w:p w14:paraId="53C0FBCE" w14:textId="77777777" w:rsidR="00A33BA3" w:rsidRDefault="00000000">
      <w:pPr>
        <w:pStyle w:val="ListBullet"/>
        <w:spacing w:after="60"/>
      </w:pPr>
      <w:r>
        <w:rPr>
          <w:b/>
        </w:rPr>
        <w:t xml:space="preserve">RQ4 - Efficiency: </w:t>
      </w:r>
      <w:r>
        <w:t>How much wall-clock speed-up does each method provide compared with full retraining?</w:t>
      </w:r>
    </w:p>
    <w:p w14:paraId="2D88F490" w14:textId="77777777" w:rsidR="00A33BA3" w:rsidRDefault="00000000">
      <w:pPr>
        <w:pStyle w:val="Heading2"/>
      </w:pPr>
      <w:r>
        <w:rPr>
          <w:rFonts w:ascii="Arial" w:eastAsia="Arial" w:hAnsi="Arial"/>
        </w:rPr>
        <w:t>4.3 Objectives</w:t>
      </w:r>
    </w:p>
    <w:p w14:paraId="7A1B1346" w14:textId="77777777" w:rsidR="00A33BA3" w:rsidRDefault="00000000">
      <w:pPr>
        <w:pStyle w:val="ListNumber"/>
        <w:spacing w:after="60"/>
      </w:pPr>
      <w:r>
        <w:t>Review core literature on machine unlearning, SISA, approximate forgetting, membership inference, and AI/data-protection governance.</w:t>
      </w:r>
    </w:p>
    <w:p w14:paraId="7BBF51E6" w14:textId="77777777" w:rsidR="00A33BA3" w:rsidRDefault="00000000">
      <w:pPr>
        <w:pStyle w:val="ListNumber"/>
        <w:spacing w:after="60"/>
      </w:pPr>
      <w:r>
        <w:t>Build a reproducible PyTorch training pipeline for one public tabular classification dataset.</w:t>
      </w:r>
    </w:p>
    <w:p w14:paraId="75B5CCED" w14:textId="77777777" w:rsidR="00A33BA3" w:rsidRDefault="00000000">
      <w:pPr>
        <w:pStyle w:val="ListNumber"/>
        <w:spacing w:after="60"/>
      </w:pPr>
      <w:r>
        <w:t>Simulate erasure requests by holding out a defined forget set from the training data.</w:t>
      </w:r>
    </w:p>
    <w:p w14:paraId="5A83A159" w14:textId="77777777" w:rsidR="00A33BA3" w:rsidRDefault="00000000">
      <w:pPr>
        <w:pStyle w:val="ListNumber"/>
        <w:spacing w:after="60"/>
      </w:pPr>
      <w:r>
        <w:t>Implement full retraining, retain-set fine-tuning, gradient-ascent unlearning, and a simple SISA/sharded retraining variant if time permits.</w:t>
      </w:r>
    </w:p>
    <w:p w14:paraId="06D1B9EA" w14:textId="77777777" w:rsidR="00A33BA3" w:rsidRDefault="00000000">
      <w:pPr>
        <w:pStyle w:val="ListNumber"/>
        <w:spacing w:after="60"/>
      </w:pPr>
      <w:r>
        <w:t>Evaluate each method using utility, retrain similarity, membership-inference, and runtime metrics.</w:t>
      </w:r>
    </w:p>
    <w:p w14:paraId="36D5ECAC" w14:textId="77777777" w:rsidR="00A33BA3" w:rsidRDefault="00000000">
      <w:pPr>
        <w:pStyle w:val="ListNumber"/>
        <w:spacing w:after="60"/>
      </w:pPr>
      <w:r>
        <w:t xml:space="preserve">Produce a </w:t>
      </w:r>
      <w:proofErr w:type="gramStart"/>
      <w:r>
        <w:t>6-8 page</w:t>
      </w:r>
      <w:proofErr w:type="gramEnd"/>
      <w:r>
        <w:t xml:space="preserve"> conference-style paper and a compact, documented code repository.</w:t>
      </w:r>
    </w:p>
    <w:p w14:paraId="47E551D5" w14:textId="77777777" w:rsidR="00A33BA3" w:rsidRDefault="00000000">
      <w:pPr>
        <w:pStyle w:val="Heading1"/>
      </w:pPr>
      <w:r>
        <w:rPr>
          <w:rFonts w:ascii="Arial" w:eastAsia="Arial" w:hAnsi="Arial"/>
        </w:rPr>
        <w:t>5. Scope Boundaries</w:t>
      </w:r>
    </w:p>
    <w:tbl>
      <w:tblPr>
        <w:tblStyle w:val="TableGrid"/>
        <w:tblW w:w="0" w:type="auto"/>
        <w:jc w:val="center"/>
        <w:tblLook w:val="04A0" w:firstRow="1" w:lastRow="0" w:firstColumn="1" w:lastColumn="0" w:noHBand="0" w:noVBand="1"/>
      </w:tblPr>
      <w:tblGrid>
        <w:gridCol w:w="4608"/>
        <w:gridCol w:w="4608"/>
      </w:tblGrid>
      <w:tr w:rsidR="00A33BA3" w14:paraId="1C7604D6" w14:textId="77777777">
        <w:trPr>
          <w:jc w:val="center"/>
        </w:trPr>
        <w:tc>
          <w:tcPr>
            <w:tcW w:w="4608" w:type="dxa"/>
            <w:shd w:val="clear" w:color="auto" w:fill="2E5E3F"/>
            <w:tcMar>
              <w:top w:w="60" w:type="dxa"/>
              <w:left w:w="70" w:type="dxa"/>
              <w:bottom w:w="60" w:type="dxa"/>
              <w:right w:w="70" w:type="dxa"/>
            </w:tcMar>
          </w:tcPr>
          <w:p w14:paraId="43813FEE" w14:textId="77777777" w:rsidR="00A33BA3" w:rsidRDefault="00000000">
            <w:r>
              <w:rPr>
                <w:b/>
                <w:color w:val="FFFFFF"/>
                <w:sz w:val="15"/>
              </w:rPr>
              <w:t>In scope</w:t>
            </w:r>
          </w:p>
        </w:tc>
        <w:tc>
          <w:tcPr>
            <w:tcW w:w="4608" w:type="dxa"/>
            <w:shd w:val="clear" w:color="auto" w:fill="2E5E3F"/>
            <w:tcMar>
              <w:top w:w="60" w:type="dxa"/>
              <w:left w:w="70" w:type="dxa"/>
              <w:bottom w:w="60" w:type="dxa"/>
              <w:right w:w="70" w:type="dxa"/>
            </w:tcMar>
          </w:tcPr>
          <w:p w14:paraId="507E6859" w14:textId="77777777" w:rsidR="00A33BA3" w:rsidRDefault="00000000">
            <w:r>
              <w:rPr>
                <w:b/>
                <w:color w:val="FFFFFF"/>
                <w:sz w:val="15"/>
              </w:rPr>
              <w:t>Out of scope / Stretch only</w:t>
            </w:r>
          </w:p>
        </w:tc>
      </w:tr>
      <w:tr w:rsidR="00A33BA3" w14:paraId="580266BA" w14:textId="77777777">
        <w:trPr>
          <w:jc w:val="center"/>
        </w:trPr>
        <w:tc>
          <w:tcPr>
            <w:tcW w:w="4608" w:type="dxa"/>
            <w:tcMar>
              <w:top w:w="60" w:type="dxa"/>
              <w:left w:w="70" w:type="dxa"/>
              <w:bottom w:w="60" w:type="dxa"/>
              <w:right w:w="70" w:type="dxa"/>
            </w:tcMar>
          </w:tcPr>
          <w:p w14:paraId="76A44BCC" w14:textId="77777777" w:rsidR="00A33BA3" w:rsidRDefault="00000000">
            <w:r>
              <w:rPr>
                <w:sz w:val="15"/>
              </w:rPr>
              <w:t>One primary dataset: UCI Adult Income.</w:t>
            </w:r>
          </w:p>
        </w:tc>
        <w:tc>
          <w:tcPr>
            <w:tcW w:w="4608" w:type="dxa"/>
            <w:tcMar>
              <w:top w:w="60" w:type="dxa"/>
              <w:left w:w="70" w:type="dxa"/>
              <w:bottom w:w="60" w:type="dxa"/>
              <w:right w:w="70" w:type="dxa"/>
            </w:tcMar>
          </w:tcPr>
          <w:p w14:paraId="17FCCAF2" w14:textId="77777777" w:rsidR="00A33BA3" w:rsidRDefault="00000000">
            <w:r>
              <w:rPr>
                <w:sz w:val="15"/>
              </w:rPr>
              <w:t>Credit Card Fraud dataset only if all core experiments finish early.</w:t>
            </w:r>
          </w:p>
        </w:tc>
      </w:tr>
      <w:tr w:rsidR="00A33BA3" w14:paraId="0C8ADEB9" w14:textId="77777777">
        <w:trPr>
          <w:jc w:val="center"/>
        </w:trPr>
        <w:tc>
          <w:tcPr>
            <w:tcW w:w="4608" w:type="dxa"/>
            <w:tcMar>
              <w:top w:w="60" w:type="dxa"/>
              <w:left w:w="70" w:type="dxa"/>
              <w:bottom w:w="60" w:type="dxa"/>
              <w:right w:w="70" w:type="dxa"/>
            </w:tcMar>
          </w:tcPr>
          <w:p w14:paraId="6F2BCBFA" w14:textId="77777777" w:rsidR="00A33BA3" w:rsidRDefault="00000000">
            <w:r>
              <w:rPr>
                <w:sz w:val="15"/>
              </w:rPr>
              <w:t>One model family: PyTorch MLP classifier.</w:t>
            </w:r>
          </w:p>
        </w:tc>
        <w:tc>
          <w:tcPr>
            <w:tcW w:w="4608" w:type="dxa"/>
            <w:tcMar>
              <w:top w:w="60" w:type="dxa"/>
              <w:left w:w="70" w:type="dxa"/>
              <w:bottom w:w="60" w:type="dxa"/>
              <w:right w:w="70" w:type="dxa"/>
            </w:tcMar>
          </w:tcPr>
          <w:p w14:paraId="7E3D30ED" w14:textId="77777777" w:rsidR="00A33BA3" w:rsidRDefault="00000000">
            <w:r>
              <w:rPr>
                <w:sz w:val="15"/>
              </w:rPr>
              <w:t>XGBoost or tree-specific unlearning.</w:t>
            </w:r>
          </w:p>
        </w:tc>
      </w:tr>
      <w:tr w:rsidR="00A33BA3" w14:paraId="53A35899" w14:textId="77777777">
        <w:trPr>
          <w:jc w:val="center"/>
        </w:trPr>
        <w:tc>
          <w:tcPr>
            <w:tcW w:w="4608" w:type="dxa"/>
            <w:tcMar>
              <w:top w:w="60" w:type="dxa"/>
              <w:left w:w="70" w:type="dxa"/>
              <w:bottom w:w="60" w:type="dxa"/>
              <w:right w:w="70" w:type="dxa"/>
            </w:tcMar>
          </w:tcPr>
          <w:p w14:paraId="468F24F7" w14:textId="77777777" w:rsidR="00A33BA3" w:rsidRDefault="00000000">
            <w:r>
              <w:rPr>
                <w:sz w:val="15"/>
              </w:rPr>
              <w:t>Full retrain, retain fine-tune, gradient ascent, optional simple SISA.</w:t>
            </w:r>
          </w:p>
        </w:tc>
        <w:tc>
          <w:tcPr>
            <w:tcW w:w="4608" w:type="dxa"/>
            <w:tcMar>
              <w:top w:w="60" w:type="dxa"/>
              <w:left w:w="70" w:type="dxa"/>
              <w:bottom w:w="60" w:type="dxa"/>
              <w:right w:w="70" w:type="dxa"/>
            </w:tcMar>
          </w:tcPr>
          <w:p w14:paraId="7C89F5B0" w14:textId="77777777" w:rsidR="00A33BA3" w:rsidRDefault="00000000">
            <w:r>
              <w:rPr>
                <w:sz w:val="15"/>
              </w:rPr>
              <w:t>Fisher Forgetting as a stretch goal only.</w:t>
            </w:r>
          </w:p>
        </w:tc>
      </w:tr>
      <w:tr w:rsidR="00A33BA3" w14:paraId="5338F414" w14:textId="77777777">
        <w:trPr>
          <w:jc w:val="center"/>
        </w:trPr>
        <w:tc>
          <w:tcPr>
            <w:tcW w:w="4608" w:type="dxa"/>
            <w:tcMar>
              <w:top w:w="60" w:type="dxa"/>
              <w:left w:w="70" w:type="dxa"/>
              <w:bottom w:w="60" w:type="dxa"/>
              <w:right w:w="70" w:type="dxa"/>
            </w:tcMar>
          </w:tcPr>
          <w:p w14:paraId="3C8AC292" w14:textId="77777777" w:rsidR="00A33BA3" w:rsidRDefault="00000000">
            <w:r>
              <w:rPr>
                <w:sz w:val="15"/>
              </w:rPr>
              <w:t>One simple loss/confidence-based membership-inference evaluation.</w:t>
            </w:r>
          </w:p>
        </w:tc>
        <w:tc>
          <w:tcPr>
            <w:tcW w:w="4608" w:type="dxa"/>
            <w:tcMar>
              <w:top w:w="60" w:type="dxa"/>
              <w:left w:w="70" w:type="dxa"/>
              <w:bottom w:w="60" w:type="dxa"/>
              <w:right w:w="70" w:type="dxa"/>
            </w:tcMar>
          </w:tcPr>
          <w:p w14:paraId="32571E7A" w14:textId="77777777" w:rsidR="00A33BA3" w:rsidRDefault="00000000">
            <w:r>
              <w:rPr>
                <w:sz w:val="15"/>
              </w:rPr>
              <w:t>Multiple shadow-model or LiRA-style attacks as stretch only.</w:t>
            </w:r>
          </w:p>
        </w:tc>
      </w:tr>
      <w:tr w:rsidR="00A33BA3" w14:paraId="3691760F" w14:textId="77777777">
        <w:trPr>
          <w:jc w:val="center"/>
        </w:trPr>
        <w:tc>
          <w:tcPr>
            <w:tcW w:w="4608" w:type="dxa"/>
            <w:tcMar>
              <w:top w:w="60" w:type="dxa"/>
              <w:left w:w="70" w:type="dxa"/>
              <w:bottom w:w="60" w:type="dxa"/>
              <w:right w:w="70" w:type="dxa"/>
            </w:tcMar>
          </w:tcPr>
          <w:p w14:paraId="4AF8813A" w14:textId="77777777" w:rsidR="00A33BA3" w:rsidRDefault="00000000">
            <w:r>
              <w:rPr>
                <w:sz w:val="15"/>
              </w:rPr>
              <w:t>CLI/repository artefact with reproducible scripts and result tables.</w:t>
            </w:r>
          </w:p>
        </w:tc>
        <w:tc>
          <w:tcPr>
            <w:tcW w:w="4608" w:type="dxa"/>
            <w:tcMar>
              <w:top w:w="60" w:type="dxa"/>
              <w:left w:w="70" w:type="dxa"/>
              <w:bottom w:w="60" w:type="dxa"/>
              <w:right w:w="70" w:type="dxa"/>
            </w:tcMar>
          </w:tcPr>
          <w:p w14:paraId="3A825F5E" w14:textId="77777777" w:rsidR="00A33BA3" w:rsidRDefault="00000000">
            <w:r>
              <w:rPr>
                <w:sz w:val="15"/>
              </w:rPr>
              <w:t>Production dashboard or plug-and-play ISx4 enterprise toolkit.</w:t>
            </w:r>
          </w:p>
        </w:tc>
      </w:tr>
      <w:tr w:rsidR="00A33BA3" w14:paraId="3299FADB" w14:textId="77777777">
        <w:trPr>
          <w:jc w:val="center"/>
        </w:trPr>
        <w:tc>
          <w:tcPr>
            <w:tcW w:w="4608" w:type="dxa"/>
            <w:tcMar>
              <w:top w:w="60" w:type="dxa"/>
              <w:left w:w="70" w:type="dxa"/>
              <w:bottom w:w="60" w:type="dxa"/>
              <w:right w:w="70" w:type="dxa"/>
            </w:tcMar>
          </w:tcPr>
          <w:p w14:paraId="056B0049" w14:textId="77777777" w:rsidR="00A33BA3" w:rsidRDefault="00000000">
            <w:r>
              <w:rPr>
                <w:sz w:val="15"/>
              </w:rPr>
              <w:t>Discussion of how unlearning may support auditable erasure workflows.</w:t>
            </w:r>
          </w:p>
        </w:tc>
        <w:tc>
          <w:tcPr>
            <w:tcW w:w="4608" w:type="dxa"/>
            <w:tcMar>
              <w:top w:w="60" w:type="dxa"/>
              <w:left w:w="70" w:type="dxa"/>
              <w:bottom w:w="60" w:type="dxa"/>
              <w:right w:w="70" w:type="dxa"/>
            </w:tcMar>
          </w:tcPr>
          <w:p w14:paraId="74F69408" w14:textId="77777777" w:rsidR="00A33BA3" w:rsidRDefault="00000000">
            <w:r>
              <w:rPr>
                <w:sz w:val="15"/>
              </w:rPr>
              <w:t>Claims that the project proves GDPR compliance.</w:t>
            </w:r>
          </w:p>
        </w:tc>
      </w:tr>
    </w:tbl>
    <w:p w14:paraId="58397874" w14:textId="77777777" w:rsidR="00A33BA3" w:rsidRDefault="00A33BA3">
      <w:pPr>
        <w:spacing w:after="40"/>
      </w:pPr>
    </w:p>
    <w:p w14:paraId="2FCECC43" w14:textId="77777777" w:rsidR="00A33BA3" w:rsidRDefault="00000000">
      <w:pPr>
        <w:pStyle w:val="Heading1"/>
      </w:pPr>
      <w:r>
        <w:rPr>
          <w:rFonts w:ascii="Arial" w:eastAsia="Arial" w:hAnsi="Arial"/>
        </w:rPr>
        <w:t>6. Planned Literature Review</w:t>
      </w:r>
    </w:p>
    <w:p w14:paraId="2B7F032D" w14:textId="77777777" w:rsidR="00A33BA3" w:rsidRDefault="00000000">
      <w:pPr>
        <w:spacing w:after="110" w:line="250" w:lineRule="auto"/>
      </w:pPr>
      <w:r>
        <w:t>The literature review will be concise and targeted. It will not attempt to survey the entire machine-unlearning field. Instead, it will position the project around four areas directly needed for the experimental design.</w:t>
      </w:r>
    </w:p>
    <w:p w14:paraId="42A9B136" w14:textId="77777777" w:rsidR="00A33BA3" w:rsidRDefault="00000000">
      <w:pPr>
        <w:pStyle w:val="Heading2"/>
      </w:pPr>
      <w:r>
        <w:rPr>
          <w:rFonts w:ascii="Arial" w:eastAsia="Arial" w:hAnsi="Arial"/>
        </w:rPr>
        <w:t>6.1 Machine Unlearning and Efficient Data Deletion</w:t>
      </w:r>
    </w:p>
    <w:p w14:paraId="0300329F" w14:textId="77777777" w:rsidR="00A33BA3" w:rsidRDefault="00000000">
      <w:pPr>
        <w:spacing w:after="110" w:line="250" w:lineRule="auto"/>
      </w:pPr>
      <w:r>
        <w:t xml:space="preserve">The review will begin with formal machine-unlearning work by Cao and Yang </w:t>
      </w:r>
      <w:hyperlink w:anchor="ref1" w:history="1">
        <w:r w:rsidR="00A33BA3">
          <w:rPr>
            <w:color w:val="0563C1"/>
            <w:u w:val="single"/>
          </w:rPr>
          <w:t>[1]</w:t>
        </w:r>
      </w:hyperlink>
      <w:r>
        <w:t xml:space="preserve">, followed by the data-deletion framing of Ginart et al. </w:t>
      </w:r>
      <w:hyperlink w:anchor="ref2" w:history="1">
        <w:r w:rsidR="00A33BA3">
          <w:rPr>
            <w:color w:val="0563C1"/>
            <w:u w:val="single"/>
          </w:rPr>
          <w:t>[2]</w:t>
        </w:r>
      </w:hyperlink>
      <w:r>
        <w:t>. These papers motivate the central baseline: if the effect of a record cannot be removed directly, the safe technical comparison point is retraining on the retain set.</w:t>
      </w:r>
    </w:p>
    <w:p w14:paraId="39A2B49C" w14:textId="77777777" w:rsidR="00A33BA3" w:rsidRDefault="00000000">
      <w:pPr>
        <w:pStyle w:val="Heading2"/>
      </w:pPr>
      <w:r>
        <w:rPr>
          <w:rFonts w:ascii="Arial" w:eastAsia="Arial" w:hAnsi="Arial"/>
        </w:rPr>
        <w:t>6.2 Sharded Training and Approximate Forgetting</w:t>
      </w:r>
    </w:p>
    <w:p w14:paraId="31F79D04" w14:textId="77777777" w:rsidR="00A33BA3" w:rsidRDefault="00000000">
      <w:pPr>
        <w:spacing w:after="110" w:line="250" w:lineRule="auto"/>
      </w:pPr>
      <w:r>
        <w:t xml:space="preserve">Bourtoule et al. introduced SISA training, where data is divided into shards and slices so that only the affected shard or slice needs to be retrained when an unlearning request arrives </w:t>
      </w:r>
      <w:hyperlink w:anchor="ref3" w:history="1">
        <w:r w:rsidR="00A33BA3">
          <w:rPr>
            <w:color w:val="0563C1"/>
            <w:u w:val="single"/>
          </w:rPr>
          <w:t>[3]</w:t>
        </w:r>
      </w:hyperlink>
      <w:r>
        <w:t xml:space="preserve">. Golatkar et al. studied selective forgetting in deep networks using approximations based on parameter influence and information remaining in weights </w:t>
      </w:r>
      <w:hyperlink w:anchor="ref4" w:history="1">
        <w:r w:rsidR="00A33BA3">
          <w:rPr>
            <w:color w:val="0563C1"/>
            <w:u w:val="single"/>
          </w:rPr>
          <w:t>[4]</w:t>
        </w:r>
      </w:hyperlink>
      <w:r>
        <w:t>. In this MSc project, SISA is feasible as a simplified sharded retraining experiment; Fisher-style forgetting is treated as a stretch goal because it is harder to implement and validate correctly.</w:t>
      </w:r>
    </w:p>
    <w:p w14:paraId="034F72DB" w14:textId="77777777" w:rsidR="00A33BA3" w:rsidRDefault="00000000">
      <w:pPr>
        <w:pStyle w:val="Heading2"/>
      </w:pPr>
      <w:r>
        <w:rPr>
          <w:rFonts w:ascii="Arial" w:eastAsia="Arial" w:hAnsi="Arial"/>
        </w:rPr>
        <w:t>6.3 Membership Inference as Empirical Verification</w:t>
      </w:r>
    </w:p>
    <w:p w14:paraId="19F5EB37" w14:textId="77777777" w:rsidR="00A33BA3" w:rsidRDefault="00000000">
      <w:pPr>
        <w:spacing w:after="110" w:line="250" w:lineRule="auto"/>
      </w:pPr>
      <w:r>
        <w:t xml:space="preserve">Shokri et al. showed that trained models can leak whether a sample was part of the training data </w:t>
      </w:r>
      <w:hyperlink w:anchor="ref5" w:history="1">
        <w:r w:rsidR="00A33BA3">
          <w:rPr>
            <w:color w:val="0563C1"/>
            <w:u w:val="single"/>
          </w:rPr>
          <w:t>[5]</w:t>
        </w:r>
      </w:hyperlink>
      <w:r>
        <w:t xml:space="preserve">. Carlini et al. later argued that membership-inference attacks should be evaluated carefully, especially at low false-positive rates </w:t>
      </w:r>
      <w:hyperlink w:anchor="ref6" w:history="1">
        <w:r w:rsidR="00A33BA3">
          <w:rPr>
            <w:color w:val="0563C1"/>
            <w:u w:val="single"/>
          </w:rPr>
          <w:t>[6]</w:t>
        </w:r>
      </w:hyperlink>
      <w:r>
        <w:t xml:space="preserve">. For this project, a simple loss/confidence-based MIA will be used as a practical verification signal, while stronger attacks such as LiRA or label-only attacks are acknowledged as beyond core scope </w:t>
      </w:r>
      <w:hyperlink w:anchor="ref6" w:history="1">
        <w:r w:rsidR="00A33BA3">
          <w:rPr>
            <w:color w:val="0563C1"/>
            <w:u w:val="single"/>
          </w:rPr>
          <w:t>[6]</w:t>
        </w:r>
      </w:hyperlink>
      <w:r>
        <w:t xml:space="preserve">, </w:t>
      </w:r>
      <w:hyperlink w:anchor="ref11" w:history="1">
        <w:r w:rsidR="00A33BA3">
          <w:rPr>
            <w:color w:val="0563C1"/>
            <w:u w:val="single"/>
          </w:rPr>
          <w:t>[11]</w:t>
        </w:r>
      </w:hyperlink>
      <w:r>
        <w:t>.</w:t>
      </w:r>
    </w:p>
    <w:p w14:paraId="0A4D648B" w14:textId="77777777" w:rsidR="00A33BA3" w:rsidRDefault="00000000">
      <w:pPr>
        <w:pStyle w:val="Heading2"/>
      </w:pPr>
      <w:r>
        <w:rPr>
          <w:rFonts w:ascii="Arial" w:eastAsia="Arial" w:hAnsi="Arial"/>
        </w:rPr>
        <w:t>6.4 Benchmarking and Governance Context</w:t>
      </w:r>
    </w:p>
    <w:p w14:paraId="5616DE85" w14:textId="77777777" w:rsidR="00A33BA3" w:rsidRDefault="00000000">
      <w:pPr>
        <w:spacing w:after="110" w:line="250" w:lineRule="auto"/>
      </w:pPr>
      <w:r>
        <w:t xml:space="preserve">Deep Unlearn provides a useful warning against overclaiming: unlearning evaluation is already an active benchmarking area, and method ranking depends heavily on metric choices, hyperparameters, and model/dataset settings </w:t>
      </w:r>
      <w:hyperlink w:anchor="ref7" w:history="1">
        <w:r w:rsidR="00A33BA3">
          <w:rPr>
            <w:color w:val="0563C1"/>
            <w:u w:val="single"/>
          </w:rPr>
          <w:t>[7]</w:t>
        </w:r>
      </w:hyperlink>
      <w:r>
        <w:t xml:space="preserve">. The governance framing will refer to Article 17 of GDPR and ICO AI/data-protection guidance, but the project will avoid legal overclaiming </w:t>
      </w:r>
      <w:hyperlink w:anchor="ref8" w:history="1">
        <w:r w:rsidR="00A33BA3">
          <w:rPr>
            <w:color w:val="0563C1"/>
            <w:u w:val="single"/>
          </w:rPr>
          <w:t>[8]</w:t>
        </w:r>
      </w:hyperlink>
      <w:r>
        <w:t xml:space="preserve">, </w:t>
      </w:r>
      <w:hyperlink w:anchor="ref9" w:history="1">
        <w:r w:rsidR="00A33BA3">
          <w:rPr>
            <w:color w:val="0563C1"/>
            <w:u w:val="single"/>
          </w:rPr>
          <w:t>[9]</w:t>
        </w:r>
      </w:hyperlink>
      <w:r>
        <w:t>.</w:t>
      </w:r>
    </w:p>
    <w:p w14:paraId="46636CBB" w14:textId="77777777" w:rsidR="00A33BA3" w:rsidRDefault="00000000">
      <w:pPr>
        <w:pStyle w:val="Heading1"/>
      </w:pPr>
      <w:r>
        <w:rPr>
          <w:rFonts w:ascii="Arial" w:eastAsia="Arial" w:hAnsi="Arial"/>
        </w:rPr>
        <w:lastRenderedPageBreak/>
        <w:t>7. Research Methodology</w:t>
      </w:r>
    </w:p>
    <w:p w14:paraId="6F4F28A8" w14:textId="77777777" w:rsidR="00A33BA3" w:rsidRDefault="00000000">
      <w:pPr>
        <w:pStyle w:val="Heading2"/>
      </w:pPr>
      <w:r>
        <w:rPr>
          <w:rFonts w:ascii="Arial" w:eastAsia="Arial" w:hAnsi="Arial"/>
        </w:rPr>
        <w:t>7.1 Dataset</w:t>
      </w:r>
    </w:p>
    <w:p w14:paraId="4AD7B65B" w14:textId="77777777" w:rsidR="00A33BA3" w:rsidRDefault="00000000">
      <w:pPr>
        <w:spacing w:after="110" w:line="250" w:lineRule="auto"/>
      </w:pPr>
      <w:r>
        <w:t xml:space="preserve">The core dataset will be the UCI Adult Income dataset, a widely used public tabular binary-classification dataset </w:t>
      </w:r>
      <w:hyperlink w:anchor="ref10" w:history="1">
        <w:r w:rsidR="00A33BA3">
          <w:rPr>
            <w:color w:val="0563C1"/>
            <w:u w:val="single"/>
          </w:rPr>
          <w:t>[10]</w:t>
        </w:r>
      </w:hyperlink>
      <w:r>
        <w:t>. It is suitable because it is small enough for repeated retraining, contains mixed categorical and numerical features, and is familiar in fairness and privacy-related ML experiments. The Credit Card Fraud dataset should remain a stretch goal only, because its class imbalance would require additional care around AUROC, AUPRC, thresholding, and sampling.</w:t>
      </w:r>
    </w:p>
    <w:p w14:paraId="507BAE87" w14:textId="77777777" w:rsidR="00A33BA3" w:rsidRDefault="00000000">
      <w:pPr>
        <w:pStyle w:val="Heading2"/>
      </w:pPr>
      <w:r>
        <w:rPr>
          <w:rFonts w:ascii="Arial" w:eastAsia="Arial" w:hAnsi="Arial"/>
        </w:rPr>
        <w:t>7.2 Data Splits and Simulated Forget Set</w:t>
      </w:r>
    </w:p>
    <w:p w14:paraId="33E35958" w14:textId="77777777" w:rsidR="00A33BA3" w:rsidRDefault="00000000">
      <w:pPr>
        <w:spacing w:after="110" w:line="250" w:lineRule="auto"/>
      </w:pPr>
      <w:r>
        <w:t>The dataset will be split into train, validation, and test sets. A forget set F will be sampled from the training set, and the remaining training records will form the retain set R. The project will start with a single forget-set fraction, such as 5 percent of the training data, and may add sensitivity analysis over smaller or larger fractions if time permits.</w:t>
      </w:r>
    </w:p>
    <w:p w14:paraId="33E758D1" w14:textId="77777777" w:rsidR="00A33BA3" w:rsidRDefault="00000000">
      <w:pPr>
        <w:spacing w:after="110" w:line="250" w:lineRule="auto"/>
      </w:pPr>
      <w:r>
        <w:t>The full-retraining baseline will train a fresh model on R only. Approximate unlearning methods will start from the original model trained on R union F and then attempt to remove the influence of F. This makes it possible to compare each unlearned model against the model that would have existed if the forgotten records had never been used.</w:t>
      </w:r>
    </w:p>
    <w:p w14:paraId="4D470737" w14:textId="77777777" w:rsidR="00A33BA3" w:rsidRDefault="00000000">
      <w:pPr>
        <w:pStyle w:val="Heading2"/>
      </w:pPr>
      <w:r>
        <w:rPr>
          <w:rFonts w:ascii="Arial" w:eastAsia="Arial" w:hAnsi="Arial"/>
        </w:rPr>
        <w:t>7.3 Baseline Model</w:t>
      </w:r>
    </w:p>
    <w:p w14:paraId="38ECB926" w14:textId="77777777" w:rsidR="00A33BA3" w:rsidRDefault="00000000">
      <w:pPr>
        <w:spacing w:after="110" w:line="250" w:lineRule="auto"/>
      </w:pPr>
      <w:r>
        <w:t>The base model will be a small PyTorch multilayer perceptron with two hidden layers, ReLU activations, dropout or weight decay where appropriate, and Adam optimisation. The model should be deliberately simple: the aim is not to win on Adult Income, but to create a controlled setting where retraining, approximate unlearning, and evaluation can be repeated across seeds within the MSc timeline.</w:t>
      </w:r>
    </w:p>
    <w:p w14:paraId="6C87BD6B" w14:textId="77777777" w:rsidR="00A33BA3" w:rsidRDefault="00000000">
      <w:pPr>
        <w:pStyle w:val="Heading2"/>
      </w:pPr>
      <w:r>
        <w:rPr>
          <w:rFonts w:ascii="Arial" w:eastAsia="Arial" w:hAnsi="Arial"/>
        </w:rPr>
        <w:t>7.4 Unlearning Methods</w:t>
      </w:r>
    </w:p>
    <w:tbl>
      <w:tblPr>
        <w:tblStyle w:val="TableGrid"/>
        <w:tblW w:w="0" w:type="auto"/>
        <w:jc w:val="center"/>
        <w:tblLook w:val="04A0" w:firstRow="1" w:lastRow="0" w:firstColumn="1" w:lastColumn="0" w:noHBand="0" w:noVBand="1"/>
      </w:tblPr>
      <w:tblGrid>
        <w:gridCol w:w="1944"/>
        <w:gridCol w:w="2880"/>
        <w:gridCol w:w="4608"/>
      </w:tblGrid>
      <w:tr w:rsidR="00A33BA3" w14:paraId="0A0D356F" w14:textId="77777777">
        <w:trPr>
          <w:jc w:val="center"/>
        </w:trPr>
        <w:tc>
          <w:tcPr>
            <w:tcW w:w="1944" w:type="dxa"/>
            <w:shd w:val="clear" w:color="auto" w:fill="2E5E3F"/>
            <w:tcMar>
              <w:top w:w="60" w:type="dxa"/>
              <w:left w:w="70" w:type="dxa"/>
              <w:bottom w:w="60" w:type="dxa"/>
              <w:right w:w="70" w:type="dxa"/>
            </w:tcMar>
          </w:tcPr>
          <w:p w14:paraId="2E7AB12D" w14:textId="77777777" w:rsidR="00A33BA3" w:rsidRDefault="00000000">
            <w:r>
              <w:rPr>
                <w:b/>
                <w:color w:val="FFFFFF"/>
                <w:sz w:val="15"/>
              </w:rPr>
              <w:t>Method</w:t>
            </w:r>
          </w:p>
        </w:tc>
        <w:tc>
          <w:tcPr>
            <w:tcW w:w="2880" w:type="dxa"/>
            <w:shd w:val="clear" w:color="auto" w:fill="2E5E3F"/>
            <w:tcMar>
              <w:top w:w="60" w:type="dxa"/>
              <w:left w:w="70" w:type="dxa"/>
              <w:bottom w:w="60" w:type="dxa"/>
              <w:right w:w="70" w:type="dxa"/>
            </w:tcMar>
          </w:tcPr>
          <w:p w14:paraId="33EBD634" w14:textId="77777777" w:rsidR="00A33BA3" w:rsidRDefault="00000000">
            <w:r>
              <w:rPr>
                <w:b/>
                <w:color w:val="FFFFFF"/>
                <w:sz w:val="15"/>
              </w:rPr>
              <w:t>Role in study</w:t>
            </w:r>
          </w:p>
        </w:tc>
        <w:tc>
          <w:tcPr>
            <w:tcW w:w="4608" w:type="dxa"/>
            <w:shd w:val="clear" w:color="auto" w:fill="2E5E3F"/>
            <w:tcMar>
              <w:top w:w="60" w:type="dxa"/>
              <w:left w:w="70" w:type="dxa"/>
              <w:bottom w:w="60" w:type="dxa"/>
              <w:right w:w="70" w:type="dxa"/>
            </w:tcMar>
          </w:tcPr>
          <w:p w14:paraId="79854DF9" w14:textId="77777777" w:rsidR="00A33BA3" w:rsidRDefault="00000000">
            <w:r>
              <w:rPr>
                <w:b/>
                <w:color w:val="FFFFFF"/>
                <w:sz w:val="15"/>
              </w:rPr>
              <w:t>Implementation plan</w:t>
            </w:r>
          </w:p>
        </w:tc>
      </w:tr>
      <w:tr w:rsidR="00A33BA3" w14:paraId="15199B53" w14:textId="77777777">
        <w:trPr>
          <w:jc w:val="center"/>
        </w:trPr>
        <w:tc>
          <w:tcPr>
            <w:tcW w:w="1944" w:type="dxa"/>
            <w:tcMar>
              <w:top w:w="60" w:type="dxa"/>
              <w:left w:w="70" w:type="dxa"/>
              <w:bottom w:w="60" w:type="dxa"/>
              <w:right w:w="70" w:type="dxa"/>
            </w:tcMar>
          </w:tcPr>
          <w:p w14:paraId="37C78D0F" w14:textId="77777777" w:rsidR="00A33BA3" w:rsidRDefault="00000000">
            <w:r>
              <w:rPr>
                <w:sz w:val="15"/>
              </w:rPr>
              <w:t>Full retraining</w:t>
            </w:r>
          </w:p>
        </w:tc>
        <w:tc>
          <w:tcPr>
            <w:tcW w:w="2880" w:type="dxa"/>
            <w:tcMar>
              <w:top w:w="60" w:type="dxa"/>
              <w:left w:w="70" w:type="dxa"/>
              <w:bottom w:w="60" w:type="dxa"/>
              <w:right w:w="70" w:type="dxa"/>
            </w:tcMar>
          </w:tcPr>
          <w:p w14:paraId="7D7B58F4" w14:textId="77777777" w:rsidR="00A33BA3" w:rsidRDefault="00000000">
            <w:r>
              <w:rPr>
                <w:sz w:val="15"/>
              </w:rPr>
              <w:t>Gold-standard baseline</w:t>
            </w:r>
          </w:p>
        </w:tc>
        <w:tc>
          <w:tcPr>
            <w:tcW w:w="4608" w:type="dxa"/>
            <w:tcMar>
              <w:top w:w="60" w:type="dxa"/>
              <w:left w:w="70" w:type="dxa"/>
              <w:bottom w:w="60" w:type="dxa"/>
              <w:right w:w="70" w:type="dxa"/>
            </w:tcMar>
          </w:tcPr>
          <w:p w14:paraId="0010870D" w14:textId="77777777" w:rsidR="00A33BA3" w:rsidRDefault="00000000">
            <w:r>
              <w:rPr>
                <w:sz w:val="15"/>
              </w:rPr>
              <w:t>Train a new model from scratch on R, excluding F.</w:t>
            </w:r>
          </w:p>
        </w:tc>
      </w:tr>
      <w:tr w:rsidR="00A33BA3" w14:paraId="2AA4B925" w14:textId="77777777">
        <w:trPr>
          <w:jc w:val="center"/>
        </w:trPr>
        <w:tc>
          <w:tcPr>
            <w:tcW w:w="1944" w:type="dxa"/>
            <w:tcMar>
              <w:top w:w="60" w:type="dxa"/>
              <w:left w:w="70" w:type="dxa"/>
              <w:bottom w:w="60" w:type="dxa"/>
              <w:right w:w="70" w:type="dxa"/>
            </w:tcMar>
          </w:tcPr>
          <w:p w14:paraId="126868F8" w14:textId="77777777" w:rsidR="00A33BA3" w:rsidRDefault="00000000">
            <w:r>
              <w:rPr>
                <w:sz w:val="15"/>
              </w:rPr>
              <w:t>Retain-set fine-tuning</w:t>
            </w:r>
          </w:p>
        </w:tc>
        <w:tc>
          <w:tcPr>
            <w:tcW w:w="2880" w:type="dxa"/>
            <w:tcMar>
              <w:top w:w="60" w:type="dxa"/>
              <w:left w:w="70" w:type="dxa"/>
              <w:bottom w:w="60" w:type="dxa"/>
              <w:right w:w="70" w:type="dxa"/>
            </w:tcMar>
          </w:tcPr>
          <w:p w14:paraId="4A8F9A80" w14:textId="77777777" w:rsidR="00A33BA3" w:rsidRDefault="00000000">
            <w:r>
              <w:rPr>
                <w:sz w:val="15"/>
              </w:rPr>
              <w:t>Simple practical baseline</w:t>
            </w:r>
          </w:p>
        </w:tc>
        <w:tc>
          <w:tcPr>
            <w:tcW w:w="4608" w:type="dxa"/>
            <w:tcMar>
              <w:top w:w="60" w:type="dxa"/>
              <w:left w:w="70" w:type="dxa"/>
              <w:bottom w:w="60" w:type="dxa"/>
              <w:right w:w="70" w:type="dxa"/>
            </w:tcMar>
          </w:tcPr>
          <w:p w14:paraId="0226EED3" w14:textId="77777777" w:rsidR="00A33BA3" w:rsidRDefault="00000000">
            <w:r>
              <w:rPr>
                <w:sz w:val="15"/>
              </w:rPr>
              <w:t>Continue training original model only on R for a small number of epochs.</w:t>
            </w:r>
          </w:p>
        </w:tc>
      </w:tr>
      <w:tr w:rsidR="00A33BA3" w14:paraId="7AC9B345" w14:textId="77777777">
        <w:trPr>
          <w:jc w:val="center"/>
        </w:trPr>
        <w:tc>
          <w:tcPr>
            <w:tcW w:w="1944" w:type="dxa"/>
            <w:tcMar>
              <w:top w:w="60" w:type="dxa"/>
              <w:left w:w="70" w:type="dxa"/>
              <w:bottom w:w="60" w:type="dxa"/>
              <w:right w:w="70" w:type="dxa"/>
            </w:tcMar>
          </w:tcPr>
          <w:p w14:paraId="0C5F8588" w14:textId="77777777" w:rsidR="00A33BA3" w:rsidRDefault="00000000">
            <w:r>
              <w:rPr>
                <w:sz w:val="15"/>
              </w:rPr>
              <w:t>Gradient-ascent unlearning</w:t>
            </w:r>
          </w:p>
        </w:tc>
        <w:tc>
          <w:tcPr>
            <w:tcW w:w="2880" w:type="dxa"/>
            <w:tcMar>
              <w:top w:w="60" w:type="dxa"/>
              <w:left w:w="70" w:type="dxa"/>
              <w:bottom w:w="60" w:type="dxa"/>
              <w:right w:w="70" w:type="dxa"/>
            </w:tcMar>
          </w:tcPr>
          <w:p w14:paraId="479268A7" w14:textId="77777777" w:rsidR="00A33BA3" w:rsidRDefault="00000000">
            <w:r>
              <w:rPr>
                <w:sz w:val="15"/>
              </w:rPr>
              <w:t>Core approximate method</w:t>
            </w:r>
          </w:p>
        </w:tc>
        <w:tc>
          <w:tcPr>
            <w:tcW w:w="4608" w:type="dxa"/>
            <w:tcMar>
              <w:top w:w="60" w:type="dxa"/>
              <w:left w:w="70" w:type="dxa"/>
              <w:bottom w:w="60" w:type="dxa"/>
              <w:right w:w="70" w:type="dxa"/>
            </w:tcMar>
          </w:tcPr>
          <w:p w14:paraId="56C5BBFD" w14:textId="77777777" w:rsidR="00A33BA3" w:rsidRDefault="00000000">
            <w:r>
              <w:rPr>
                <w:sz w:val="15"/>
              </w:rPr>
              <w:t>Increase loss on F for limited steps, optionally followed by brief fine-tuning on R to recover utility.</w:t>
            </w:r>
          </w:p>
        </w:tc>
      </w:tr>
      <w:tr w:rsidR="00A33BA3" w14:paraId="5A96CAEC" w14:textId="77777777">
        <w:trPr>
          <w:jc w:val="center"/>
        </w:trPr>
        <w:tc>
          <w:tcPr>
            <w:tcW w:w="1944" w:type="dxa"/>
            <w:tcMar>
              <w:top w:w="60" w:type="dxa"/>
              <w:left w:w="70" w:type="dxa"/>
              <w:bottom w:w="60" w:type="dxa"/>
              <w:right w:w="70" w:type="dxa"/>
            </w:tcMar>
          </w:tcPr>
          <w:p w14:paraId="26EF6085" w14:textId="77777777" w:rsidR="00A33BA3" w:rsidRDefault="00000000">
            <w:r>
              <w:rPr>
                <w:sz w:val="15"/>
              </w:rPr>
              <w:t>Simple SISA/sharded retraining</w:t>
            </w:r>
          </w:p>
        </w:tc>
        <w:tc>
          <w:tcPr>
            <w:tcW w:w="2880" w:type="dxa"/>
            <w:tcMar>
              <w:top w:w="60" w:type="dxa"/>
              <w:left w:w="70" w:type="dxa"/>
              <w:bottom w:w="60" w:type="dxa"/>
              <w:right w:w="70" w:type="dxa"/>
            </w:tcMar>
          </w:tcPr>
          <w:p w14:paraId="48568AEF" w14:textId="77777777" w:rsidR="00A33BA3" w:rsidRDefault="00000000">
            <w:r>
              <w:rPr>
                <w:sz w:val="15"/>
              </w:rPr>
              <w:t>Structured unlearning method, time permitting</w:t>
            </w:r>
          </w:p>
        </w:tc>
        <w:tc>
          <w:tcPr>
            <w:tcW w:w="4608" w:type="dxa"/>
            <w:tcMar>
              <w:top w:w="60" w:type="dxa"/>
              <w:left w:w="70" w:type="dxa"/>
              <w:bottom w:w="60" w:type="dxa"/>
              <w:right w:w="70" w:type="dxa"/>
            </w:tcMar>
          </w:tcPr>
          <w:p w14:paraId="3B1CCAA4" w14:textId="77777777" w:rsidR="00A33BA3" w:rsidRDefault="00000000">
            <w:r>
              <w:rPr>
                <w:sz w:val="15"/>
              </w:rPr>
              <w:t xml:space="preserve">Train K shard </w:t>
            </w:r>
            <w:proofErr w:type="gramStart"/>
            <w:r>
              <w:rPr>
                <w:sz w:val="15"/>
              </w:rPr>
              <w:t>models;</w:t>
            </w:r>
            <w:proofErr w:type="gramEnd"/>
            <w:r>
              <w:rPr>
                <w:sz w:val="15"/>
              </w:rPr>
              <w:t xml:space="preserve"> when F affects a shard, retrain only affected shard and aggregate predictions.</w:t>
            </w:r>
          </w:p>
        </w:tc>
      </w:tr>
    </w:tbl>
    <w:p w14:paraId="65F3954D" w14:textId="77777777" w:rsidR="00A33BA3" w:rsidRDefault="00A33BA3">
      <w:pPr>
        <w:spacing w:after="40"/>
      </w:pPr>
    </w:p>
    <w:p w14:paraId="4CB39572" w14:textId="77777777" w:rsidR="00A33BA3" w:rsidRDefault="00000000">
      <w:pPr>
        <w:spacing w:after="110" w:line="250" w:lineRule="auto"/>
      </w:pPr>
      <w:r>
        <w:t>Fisher Forgetting will not be a core method. It may be discussed in the literature review and attempted only if the core benchmark is already complete. This prevents the project from being dominated by a difficult second-order approximation that may not be robustly implemented within the MSc timeframe.</w:t>
      </w:r>
    </w:p>
    <w:p w14:paraId="20791487" w14:textId="77777777" w:rsidR="00A33BA3" w:rsidRDefault="00000000">
      <w:pPr>
        <w:pStyle w:val="Heading2"/>
      </w:pPr>
      <w:r>
        <w:rPr>
          <w:rFonts w:ascii="Arial" w:eastAsia="Arial" w:hAnsi="Arial"/>
        </w:rPr>
        <w:t>7.5 Evaluation Metrics</w:t>
      </w:r>
    </w:p>
    <w:tbl>
      <w:tblPr>
        <w:tblStyle w:val="TableGrid"/>
        <w:tblW w:w="0" w:type="auto"/>
        <w:jc w:val="center"/>
        <w:tblLook w:val="04A0" w:firstRow="1" w:lastRow="0" w:firstColumn="1" w:lastColumn="0" w:noHBand="0" w:noVBand="1"/>
      </w:tblPr>
      <w:tblGrid>
        <w:gridCol w:w="2016"/>
        <w:gridCol w:w="3744"/>
        <w:gridCol w:w="3600"/>
      </w:tblGrid>
      <w:tr w:rsidR="00A33BA3" w14:paraId="1324AECD" w14:textId="77777777">
        <w:trPr>
          <w:jc w:val="center"/>
        </w:trPr>
        <w:tc>
          <w:tcPr>
            <w:tcW w:w="2016" w:type="dxa"/>
            <w:shd w:val="clear" w:color="auto" w:fill="2E5E3F"/>
            <w:tcMar>
              <w:top w:w="60" w:type="dxa"/>
              <w:left w:w="70" w:type="dxa"/>
              <w:bottom w:w="60" w:type="dxa"/>
              <w:right w:w="70" w:type="dxa"/>
            </w:tcMar>
          </w:tcPr>
          <w:p w14:paraId="601537E9" w14:textId="77777777" w:rsidR="00A33BA3" w:rsidRDefault="00000000">
            <w:r>
              <w:rPr>
                <w:b/>
                <w:color w:val="FFFFFF"/>
                <w:sz w:val="15"/>
              </w:rPr>
              <w:t>Dimension</w:t>
            </w:r>
          </w:p>
        </w:tc>
        <w:tc>
          <w:tcPr>
            <w:tcW w:w="3744" w:type="dxa"/>
            <w:shd w:val="clear" w:color="auto" w:fill="2E5E3F"/>
            <w:tcMar>
              <w:top w:w="60" w:type="dxa"/>
              <w:left w:w="70" w:type="dxa"/>
              <w:bottom w:w="60" w:type="dxa"/>
              <w:right w:w="70" w:type="dxa"/>
            </w:tcMar>
          </w:tcPr>
          <w:p w14:paraId="290EE0AE" w14:textId="77777777" w:rsidR="00A33BA3" w:rsidRDefault="00000000">
            <w:r>
              <w:rPr>
                <w:b/>
                <w:color w:val="FFFFFF"/>
                <w:sz w:val="15"/>
              </w:rPr>
              <w:t>Metric</w:t>
            </w:r>
          </w:p>
        </w:tc>
        <w:tc>
          <w:tcPr>
            <w:tcW w:w="3600" w:type="dxa"/>
            <w:shd w:val="clear" w:color="auto" w:fill="2E5E3F"/>
            <w:tcMar>
              <w:top w:w="60" w:type="dxa"/>
              <w:left w:w="70" w:type="dxa"/>
              <w:bottom w:w="60" w:type="dxa"/>
              <w:right w:w="70" w:type="dxa"/>
            </w:tcMar>
          </w:tcPr>
          <w:p w14:paraId="3ACE306E" w14:textId="77777777" w:rsidR="00A33BA3" w:rsidRDefault="00000000">
            <w:r>
              <w:rPr>
                <w:b/>
                <w:color w:val="FFFFFF"/>
                <w:sz w:val="15"/>
              </w:rPr>
              <w:t>Interpretation</w:t>
            </w:r>
          </w:p>
        </w:tc>
      </w:tr>
      <w:tr w:rsidR="00A33BA3" w14:paraId="722D0B3E" w14:textId="77777777">
        <w:trPr>
          <w:jc w:val="center"/>
        </w:trPr>
        <w:tc>
          <w:tcPr>
            <w:tcW w:w="2016" w:type="dxa"/>
            <w:tcMar>
              <w:top w:w="60" w:type="dxa"/>
              <w:left w:w="70" w:type="dxa"/>
              <w:bottom w:w="60" w:type="dxa"/>
              <w:right w:w="70" w:type="dxa"/>
            </w:tcMar>
          </w:tcPr>
          <w:p w14:paraId="0152A2DA" w14:textId="77777777" w:rsidR="00A33BA3" w:rsidRDefault="00000000">
            <w:r>
              <w:rPr>
                <w:sz w:val="15"/>
              </w:rPr>
              <w:t>Utility retention</w:t>
            </w:r>
          </w:p>
        </w:tc>
        <w:tc>
          <w:tcPr>
            <w:tcW w:w="3744" w:type="dxa"/>
            <w:tcMar>
              <w:top w:w="60" w:type="dxa"/>
              <w:left w:w="70" w:type="dxa"/>
              <w:bottom w:w="60" w:type="dxa"/>
              <w:right w:w="70" w:type="dxa"/>
            </w:tcMar>
          </w:tcPr>
          <w:p w14:paraId="5A3E3765" w14:textId="77777777" w:rsidR="00A33BA3" w:rsidRDefault="00000000">
            <w:r>
              <w:rPr>
                <w:sz w:val="15"/>
              </w:rPr>
              <w:t>Accuracy, balanced accuracy, F1, AUROC, log loss on retain/test sets</w:t>
            </w:r>
          </w:p>
        </w:tc>
        <w:tc>
          <w:tcPr>
            <w:tcW w:w="3600" w:type="dxa"/>
            <w:tcMar>
              <w:top w:w="60" w:type="dxa"/>
              <w:left w:w="70" w:type="dxa"/>
              <w:bottom w:w="60" w:type="dxa"/>
              <w:right w:w="70" w:type="dxa"/>
            </w:tcMar>
          </w:tcPr>
          <w:p w14:paraId="1FE0125C" w14:textId="77777777" w:rsidR="00A33BA3" w:rsidRDefault="00000000">
            <w:r>
              <w:rPr>
                <w:sz w:val="15"/>
              </w:rPr>
              <w:t>The unlearned model should remain useful on data it was not asked to forget.</w:t>
            </w:r>
          </w:p>
        </w:tc>
      </w:tr>
      <w:tr w:rsidR="00A33BA3" w14:paraId="550E45DF" w14:textId="77777777">
        <w:trPr>
          <w:jc w:val="center"/>
        </w:trPr>
        <w:tc>
          <w:tcPr>
            <w:tcW w:w="2016" w:type="dxa"/>
            <w:tcMar>
              <w:top w:w="60" w:type="dxa"/>
              <w:left w:w="70" w:type="dxa"/>
              <w:bottom w:w="60" w:type="dxa"/>
              <w:right w:w="70" w:type="dxa"/>
            </w:tcMar>
          </w:tcPr>
          <w:p w14:paraId="45152FBA" w14:textId="77777777" w:rsidR="00A33BA3" w:rsidRDefault="00000000">
            <w:r>
              <w:rPr>
                <w:sz w:val="15"/>
              </w:rPr>
              <w:t>Retrain similarity</w:t>
            </w:r>
          </w:p>
        </w:tc>
        <w:tc>
          <w:tcPr>
            <w:tcW w:w="3744" w:type="dxa"/>
            <w:tcMar>
              <w:top w:w="60" w:type="dxa"/>
              <w:left w:w="70" w:type="dxa"/>
              <w:bottom w:w="60" w:type="dxa"/>
              <w:right w:w="70" w:type="dxa"/>
            </w:tcMar>
          </w:tcPr>
          <w:p w14:paraId="58D4C31E" w14:textId="77777777" w:rsidR="00A33BA3" w:rsidRDefault="00000000">
            <w:r>
              <w:rPr>
                <w:sz w:val="15"/>
              </w:rPr>
              <w:t>Prediction/logit gap between unlearned model and full-retrain model on forget, retain, and test splits</w:t>
            </w:r>
          </w:p>
        </w:tc>
        <w:tc>
          <w:tcPr>
            <w:tcW w:w="3600" w:type="dxa"/>
            <w:tcMar>
              <w:top w:w="60" w:type="dxa"/>
              <w:left w:w="70" w:type="dxa"/>
              <w:bottom w:w="60" w:type="dxa"/>
              <w:right w:w="70" w:type="dxa"/>
            </w:tcMar>
          </w:tcPr>
          <w:p w14:paraId="754E39DA" w14:textId="77777777" w:rsidR="00A33BA3" w:rsidRDefault="00000000">
            <w:r>
              <w:rPr>
                <w:sz w:val="15"/>
              </w:rPr>
              <w:t>The unlearned model should move towards the behaviour of the retrained model.</w:t>
            </w:r>
          </w:p>
        </w:tc>
      </w:tr>
      <w:tr w:rsidR="00A33BA3" w14:paraId="027C8B8E" w14:textId="77777777">
        <w:trPr>
          <w:jc w:val="center"/>
        </w:trPr>
        <w:tc>
          <w:tcPr>
            <w:tcW w:w="2016" w:type="dxa"/>
            <w:tcMar>
              <w:top w:w="60" w:type="dxa"/>
              <w:left w:w="70" w:type="dxa"/>
              <w:bottom w:w="60" w:type="dxa"/>
              <w:right w:w="70" w:type="dxa"/>
            </w:tcMar>
          </w:tcPr>
          <w:p w14:paraId="1F9B6896" w14:textId="77777777" w:rsidR="00A33BA3" w:rsidRDefault="00000000">
            <w:r>
              <w:rPr>
                <w:sz w:val="15"/>
              </w:rPr>
              <w:t>Membership signal</w:t>
            </w:r>
          </w:p>
        </w:tc>
        <w:tc>
          <w:tcPr>
            <w:tcW w:w="3744" w:type="dxa"/>
            <w:tcMar>
              <w:top w:w="60" w:type="dxa"/>
              <w:left w:w="70" w:type="dxa"/>
              <w:bottom w:w="60" w:type="dxa"/>
              <w:right w:w="70" w:type="dxa"/>
            </w:tcMar>
          </w:tcPr>
          <w:p w14:paraId="2807FD8A" w14:textId="77777777" w:rsidR="00A33BA3" w:rsidRDefault="00000000">
            <w:r>
              <w:rPr>
                <w:sz w:val="15"/>
              </w:rPr>
              <w:t>AUC/accuracy of a simple MIA using confidence or per-sample loss</w:t>
            </w:r>
          </w:p>
        </w:tc>
        <w:tc>
          <w:tcPr>
            <w:tcW w:w="3600" w:type="dxa"/>
            <w:tcMar>
              <w:top w:w="60" w:type="dxa"/>
              <w:left w:w="70" w:type="dxa"/>
              <w:bottom w:w="60" w:type="dxa"/>
              <w:right w:w="70" w:type="dxa"/>
            </w:tcMar>
          </w:tcPr>
          <w:p w14:paraId="55964FB4" w14:textId="77777777" w:rsidR="00A33BA3" w:rsidRDefault="00000000">
            <w:r>
              <w:rPr>
                <w:sz w:val="15"/>
              </w:rPr>
              <w:t>Lower ability to distinguish forgotten training records from non-members suggests better forgetting.</w:t>
            </w:r>
          </w:p>
        </w:tc>
      </w:tr>
      <w:tr w:rsidR="00A33BA3" w14:paraId="08EAF57F" w14:textId="77777777">
        <w:trPr>
          <w:jc w:val="center"/>
        </w:trPr>
        <w:tc>
          <w:tcPr>
            <w:tcW w:w="2016" w:type="dxa"/>
            <w:tcMar>
              <w:top w:w="60" w:type="dxa"/>
              <w:left w:w="70" w:type="dxa"/>
              <w:bottom w:w="60" w:type="dxa"/>
              <w:right w:w="70" w:type="dxa"/>
            </w:tcMar>
          </w:tcPr>
          <w:p w14:paraId="7F026DEB" w14:textId="77777777" w:rsidR="00A33BA3" w:rsidRDefault="00000000">
            <w:r>
              <w:rPr>
                <w:sz w:val="15"/>
              </w:rPr>
              <w:t>Runtime</w:t>
            </w:r>
          </w:p>
        </w:tc>
        <w:tc>
          <w:tcPr>
            <w:tcW w:w="3744" w:type="dxa"/>
            <w:tcMar>
              <w:top w:w="60" w:type="dxa"/>
              <w:left w:w="70" w:type="dxa"/>
              <w:bottom w:w="60" w:type="dxa"/>
              <w:right w:w="70" w:type="dxa"/>
            </w:tcMar>
          </w:tcPr>
          <w:p w14:paraId="1B3FDE71" w14:textId="77777777" w:rsidR="00A33BA3" w:rsidRDefault="00000000">
            <w:r>
              <w:rPr>
                <w:sz w:val="15"/>
              </w:rPr>
              <w:t>Wall-clock time and relative speed-up versus full retraining</w:t>
            </w:r>
          </w:p>
        </w:tc>
        <w:tc>
          <w:tcPr>
            <w:tcW w:w="3600" w:type="dxa"/>
            <w:tcMar>
              <w:top w:w="60" w:type="dxa"/>
              <w:left w:w="70" w:type="dxa"/>
              <w:bottom w:w="60" w:type="dxa"/>
              <w:right w:w="70" w:type="dxa"/>
            </w:tcMar>
          </w:tcPr>
          <w:p w14:paraId="7C454813" w14:textId="77777777" w:rsidR="00A33BA3" w:rsidRDefault="00000000">
            <w:r>
              <w:rPr>
                <w:sz w:val="15"/>
              </w:rPr>
              <w:t>Approximate methods should be materially faster than retraining.</w:t>
            </w:r>
          </w:p>
        </w:tc>
      </w:tr>
      <w:tr w:rsidR="00A33BA3" w14:paraId="2B1FAC9F" w14:textId="77777777">
        <w:trPr>
          <w:jc w:val="center"/>
        </w:trPr>
        <w:tc>
          <w:tcPr>
            <w:tcW w:w="2016" w:type="dxa"/>
            <w:tcMar>
              <w:top w:w="60" w:type="dxa"/>
              <w:left w:w="70" w:type="dxa"/>
              <w:bottom w:w="60" w:type="dxa"/>
              <w:right w:w="70" w:type="dxa"/>
            </w:tcMar>
          </w:tcPr>
          <w:p w14:paraId="38D8AE87" w14:textId="77777777" w:rsidR="00A33BA3" w:rsidRDefault="00000000">
            <w:r>
              <w:rPr>
                <w:sz w:val="15"/>
              </w:rPr>
              <w:t>Stability</w:t>
            </w:r>
          </w:p>
        </w:tc>
        <w:tc>
          <w:tcPr>
            <w:tcW w:w="3744" w:type="dxa"/>
            <w:tcMar>
              <w:top w:w="60" w:type="dxa"/>
              <w:left w:w="70" w:type="dxa"/>
              <w:bottom w:w="60" w:type="dxa"/>
              <w:right w:w="70" w:type="dxa"/>
            </w:tcMar>
          </w:tcPr>
          <w:p w14:paraId="6BAC3D05" w14:textId="77777777" w:rsidR="00A33BA3" w:rsidRDefault="00000000">
            <w:r>
              <w:rPr>
                <w:sz w:val="15"/>
              </w:rPr>
              <w:t>Mean and standard deviation across seeds where possible</w:t>
            </w:r>
          </w:p>
        </w:tc>
        <w:tc>
          <w:tcPr>
            <w:tcW w:w="3600" w:type="dxa"/>
            <w:tcMar>
              <w:top w:w="60" w:type="dxa"/>
              <w:left w:w="70" w:type="dxa"/>
              <w:bottom w:w="60" w:type="dxa"/>
              <w:right w:w="70" w:type="dxa"/>
            </w:tcMar>
          </w:tcPr>
          <w:p w14:paraId="49ADC9B3" w14:textId="77777777" w:rsidR="00A33BA3" w:rsidRDefault="00000000">
            <w:r>
              <w:rPr>
                <w:sz w:val="15"/>
              </w:rPr>
              <w:t>Results should not depend on a single lucky run.</w:t>
            </w:r>
          </w:p>
        </w:tc>
      </w:tr>
    </w:tbl>
    <w:p w14:paraId="792E2C5F" w14:textId="77777777" w:rsidR="00A33BA3" w:rsidRDefault="00A33BA3">
      <w:pPr>
        <w:spacing w:after="40"/>
      </w:pPr>
    </w:p>
    <w:p w14:paraId="7B6925D4" w14:textId="77777777" w:rsidR="00A33BA3" w:rsidRDefault="00000000">
      <w:pPr>
        <w:spacing w:after="110" w:line="250" w:lineRule="auto"/>
      </w:pPr>
      <w:r>
        <w:t>Forget-set accuracy alone will not be treated as sufficient evidence of unlearning. It can be misleading, especially on imbalanced datasets or when reduced accuracy simply reflects model damage. The strongest comparison will be behavioural closeness to the full-retrain baseline plus reduced membership-inference signal.</w:t>
      </w:r>
    </w:p>
    <w:p w14:paraId="0BDD36D2" w14:textId="77777777" w:rsidR="00A33BA3" w:rsidRDefault="00000000">
      <w:pPr>
        <w:pStyle w:val="Heading2"/>
      </w:pPr>
      <w:r>
        <w:rPr>
          <w:rFonts w:ascii="Arial" w:eastAsia="Arial" w:hAnsi="Arial"/>
        </w:rPr>
        <w:lastRenderedPageBreak/>
        <w:t>7.6 Reproducibility and Engineering Artefact</w:t>
      </w:r>
    </w:p>
    <w:p w14:paraId="408CD30E" w14:textId="77777777" w:rsidR="00A33BA3" w:rsidRDefault="00000000">
      <w:pPr>
        <w:spacing w:after="110" w:line="250" w:lineRule="auto"/>
      </w:pPr>
      <w:r>
        <w:t>The repository will be designed as a small research artefact rather than a production SDK. It should contain a clear README, fixed random seeds, configuration files, scripts for training/unlearning/evaluation, saved result CSV files, and a short demo command. A minimal structure is proposed below:</w:t>
      </w:r>
    </w:p>
    <w:p w14:paraId="7589A5D6" w14:textId="77777777" w:rsidR="00A33BA3" w:rsidRDefault="00000000">
      <w:pPr>
        <w:spacing w:after="120"/>
        <w:ind w:left="360"/>
      </w:pPr>
      <w:r>
        <w:rPr>
          <w:rFonts w:ascii="Courier New" w:eastAsia="Courier New" w:hAnsi="Courier New"/>
          <w:sz w:val="16"/>
        </w:rPr>
        <w:t>configs/adult_mlp.yaml</w:t>
      </w:r>
      <w:r>
        <w:rPr>
          <w:rFonts w:ascii="Courier New" w:eastAsia="Courier New" w:hAnsi="Courier New"/>
          <w:sz w:val="16"/>
        </w:rPr>
        <w:br/>
        <w:t>src/data.py</w:t>
      </w:r>
      <w:r>
        <w:rPr>
          <w:rFonts w:ascii="Courier New" w:eastAsia="Courier New" w:hAnsi="Courier New"/>
          <w:sz w:val="16"/>
        </w:rPr>
        <w:br/>
        <w:t>src/models.py</w:t>
      </w:r>
      <w:r>
        <w:rPr>
          <w:rFonts w:ascii="Courier New" w:eastAsia="Courier New" w:hAnsi="Courier New"/>
          <w:sz w:val="16"/>
        </w:rPr>
        <w:br/>
        <w:t>src/train.py</w:t>
      </w:r>
      <w:r>
        <w:rPr>
          <w:rFonts w:ascii="Courier New" w:eastAsia="Courier New" w:hAnsi="Courier New"/>
          <w:sz w:val="16"/>
        </w:rPr>
        <w:br/>
        <w:t>src/unlearn.py</w:t>
      </w:r>
      <w:r>
        <w:rPr>
          <w:rFonts w:ascii="Courier New" w:eastAsia="Courier New" w:hAnsi="Courier New"/>
          <w:sz w:val="16"/>
        </w:rPr>
        <w:br/>
        <w:t>src/evaluate.py</w:t>
      </w:r>
      <w:r>
        <w:rPr>
          <w:rFonts w:ascii="Courier New" w:eastAsia="Courier New" w:hAnsi="Courier New"/>
          <w:sz w:val="16"/>
        </w:rPr>
        <w:br/>
        <w:t>src/mia.py</w:t>
      </w:r>
      <w:r>
        <w:rPr>
          <w:rFonts w:ascii="Courier New" w:eastAsia="Courier New" w:hAnsi="Courier New"/>
          <w:sz w:val="16"/>
        </w:rPr>
        <w:br/>
        <w:t>results/adult_summary.csv</w:t>
      </w:r>
      <w:r>
        <w:rPr>
          <w:rFonts w:ascii="Courier New" w:eastAsia="Courier New" w:hAnsi="Courier New"/>
          <w:sz w:val="16"/>
        </w:rPr>
        <w:br/>
        <w:t>README.md</w:t>
      </w:r>
    </w:p>
    <w:p w14:paraId="3CABF635" w14:textId="696704E0" w:rsidR="00A33BA3" w:rsidRDefault="00000000">
      <w:pPr>
        <w:pStyle w:val="Heading2"/>
      </w:pPr>
      <w:r w:rsidRPr="3F617AE4">
        <w:rPr>
          <w:rFonts w:ascii="Arial" w:eastAsia="Arial" w:hAnsi="Arial"/>
        </w:rPr>
        <w:t>7.7 Success Criteria</w:t>
      </w:r>
    </w:p>
    <w:tbl>
      <w:tblPr>
        <w:tblStyle w:val="TableGrid"/>
        <w:tblW w:w="0" w:type="auto"/>
        <w:jc w:val="center"/>
        <w:tblLook w:val="04A0" w:firstRow="1" w:lastRow="0" w:firstColumn="1" w:lastColumn="0" w:noHBand="0" w:noVBand="1"/>
      </w:tblPr>
      <w:tblGrid>
        <w:gridCol w:w="2304"/>
        <w:gridCol w:w="7056"/>
      </w:tblGrid>
      <w:tr w:rsidR="00A33BA3" w14:paraId="6AE581BF" w14:textId="77777777" w:rsidTr="3F617AE4">
        <w:trPr>
          <w:jc w:val="center"/>
        </w:trPr>
        <w:tc>
          <w:tcPr>
            <w:tcW w:w="2304" w:type="dxa"/>
            <w:shd w:val="clear" w:color="auto" w:fill="2E5E3F"/>
            <w:tcMar>
              <w:top w:w="60" w:type="dxa"/>
              <w:left w:w="70" w:type="dxa"/>
              <w:bottom w:w="60" w:type="dxa"/>
              <w:right w:w="70" w:type="dxa"/>
            </w:tcMar>
          </w:tcPr>
          <w:p w14:paraId="2C1125A6" w14:textId="77777777" w:rsidR="00A33BA3" w:rsidRDefault="00000000">
            <w:r>
              <w:rPr>
                <w:b/>
                <w:color w:val="FFFFFF"/>
                <w:sz w:val="15"/>
              </w:rPr>
              <w:t>Item</w:t>
            </w:r>
          </w:p>
        </w:tc>
        <w:tc>
          <w:tcPr>
            <w:tcW w:w="7056" w:type="dxa"/>
            <w:shd w:val="clear" w:color="auto" w:fill="2E5E3F"/>
            <w:tcMar>
              <w:top w:w="60" w:type="dxa"/>
              <w:left w:w="70" w:type="dxa"/>
              <w:bottom w:w="60" w:type="dxa"/>
              <w:right w:w="70" w:type="dxa"/>
            </w:tcMar>
          </w:tcPr>
          <w:p w14:paraId="28DE1557" w14:textId="77777777" w:rsidR="00A33BA3" w:rsidRDefault="00000000">
            <w:r>
              <w:rPr>
                <w:b/>
                <w:color w:val="FFFFFF"/>
                <w:sz w:val="15"/>
              </w:rPr>
              <w:t>Criterion</w:t>
            </w:r>
          </w:p>
        </w:tc>
      </w:tr>
      <w:tr w:rsidR="00A33BA3" w14:paraId="475C9A88" w14:textId="77777777" w:rsidTr="3F617AE4">
        <w:trPr>
          <w:jc w:val="center"/>
        </w:trPr>
        <w:tc>
          <w:tcPr>
            <w:tcW w:w="2304" w:type="dxa"/>
            <w:tcMar>
              <w:top w:w="60" w:type="dxa"/>
              <w:left w:w="70" w:type="dxa"/>
              <w:bottom w:w="60" w:type="dxa"/>
              <w:right w:w="70" w:type="dxa"/>
            </w:tcMar>
          </w:tcPr>
          <w:p w14:paraId="01AF5FBF" w14:textId="77777777" w:rsidR="00A33BA3" w:rsidRDefault="00000000">
            <w:r>
              <w:rPr>
                <w:sz w:val="15"/>
              </w:rPr>
              <w:t>Minimum viable project</w:t>
            </w:r>
          </w:p>
        </w:tc>
        <w:tc>
          <w:tcPr>
            <w:tcW w:w="7056" w:type="dxa"/>
            <w:tcMar>
              <w:top w:w="60" w:type="dxa"/>
              <w:left w:w="70" w:type="dxa"/>
              <w:bottom w:w="60" w:type="dxa"/>
              <w:right w:w="70" w:type="dxa"/>
            </w:tcMar>
          </w:tcPr>
          <w:p w14:paraId="3FF8D051" w14:textId="77777777" w:rsidR="00A33BA3" w:rsidRDefault="00000000">
            <w:r>
              <w:rPr>
                <w:sz w:val="15"/>
              </w:rPr>
              <w:t>Adult dataset, MLP, full retrain, retain fine-tune, gradient ascent, basic MIA, and one main result table.</w:t>
            </w:r>
          </w:p>
        </w:tc>
      </w:tr>
      <w:tr w:rsidR="00A33BA3" w14:paraId="2E998E41" w14:textId="77777777" w:rsidTr="3F617AE4">
        <w:trPr>
          <w:jc w:val="center"/>
        </w:trPr>
        <w:tc>
          <w:tcPr>
            <w:tcW w:w="2304" w:type="dxa"/>
            <w:tcMar>
              <w:top w:w="60" w:type="dxa"/>
              <w:left w:w="70" w:type="dxa"/>
              <w:bottom w:w="60" w:type="dxa"/>
              <w:right w:w="70" w:type="dxa"/>
            </w:tcMar>
          </w:tcPr>
          <w:p w14:paraId="46A11B7D" w14:textId="77777777" w:rsidR="00A33BA3" w:rsidRDefault="00000000">
            <w:r>
              <w:rPr>
                <w:sz w:val="15"/>
              </w:rPr>
              <w:t>Strong project</w:t>
            </w:r>
          </w:p>
        </w:tc>
        <w:tc>
          <w:tcPr>
            <w:tcW w:w="7056" w:type="dxa"/>
            <w:tcMar>
              <w:top w:w="60" w:type="dxa"/>
              <w:left w:w="70" w:type="dxa"/>
              <w:bottom w:w="60" w:type="dxa"/>
              <w:right w:w="70" w:type="dxa"/>
            </w:tcMar>
          </w:tcPr>
          <w:p w14:paraId="2DA85A36" w14:textId="77777777" w:rsidR="00A33BA3" w:rsidRDefault="00000000">
            <w:r>
              <w:rPr>
                <w:sz w:val="15"/>
              </w:rPr>
              <w:t>Adds SISA or sharded retraining, at least three random seeds, and a clear runtime/utility/forgetting trade-off plot.</w:t>
            </w:r>
          </w:p>
        </w:tc>
      </w:tr>
    </w:tbl>
    <w:p w14:paraId="2A84002A" w14:textId="77777777" w:rsidR="00A33BA3" w:rsidRDefault="00A33BA3">
      <w:pPr>
        <w:spacing w:after="40"/>
      </w:pPr>
    </w:p>
    <w:p w14:paraId="25070D59" w14:textId="77777777" w:rsidR="00A33BA3" w:rsidRDefault="00000000">
      <w:r>
        <w:br w:type="page"/>
      </w:r>
    </w:p>
    <w:p w14:paraId="1A97CAC1" w14:textId="77777777" w:rsidR="00A33BA3" w:rsidRDefault="00000000">
      <w:pPr>
        <w:pStyle w:val="Heading1"/>
      </w:pPr>
      <w:r>
        <w:rPr>
          <w:rFonts w:ascii="Arial" w:eastAsia="Arial" w:hAnsi="Arial"/>
        </w:rPr>
        <w:lastRenderedPageBreak/>
        <w:t>8. Deliverables</w:t>
      </w:r>
    </w:p>
    <w:tbl>
      <w:tblPr>
        <w:tblStyle w:val="TableGrid"/>
        <w:tblW w:w="0" w:type="auto"/>
        <w:jc w:val="center"/>
        <w:tblLook w:val="04A0" w:firstRow="1" w:lastRow="0" w:firstColumn="1" w:lastColumn="0" w:noHBand="0" w:noVBand="1"/>
      </w:tblPr>
      <w:tblGrid>
        <w:gridCol w:w="1944"/>
        <w:gridCol w:w="4392"/>
        <w:gridCol w:w="3096"/>
      </w:tblGrid>
      <w:tr w:rsidR="00A33BA3" w14:paraId="4D94CFCF" w14:textId="77777777">
        <w:trPr>
          <w:jc w:val="center"/>
        </w:trPr>
        <w:tc>
          <w:tcPr>
            <w:tcW w:w="1944" w:type="dxa"/>
            <w:shd w:val="clear" w:color="auto" w:fill="2E5E3F"/>
            <w:tcMar>
              <w:top w:w="60" w:type="dxa"/>
              <w:left w:w="70" w:type="dxa"/>
              <w:bottom w:w="60" w:type="dxa"/>
              <w:right w:w="70" w:type="dxa"/>
            </w:tcMar>
          </w:tcPr>
          <w:p w14:paraId="4C4A0329" w14:textId="77777777" w:rsidR="00A33BA3" w:rsidRDefault="00000000">
            <w:r>
              <w:rPr>
                <w:b/>
                <w:color w:val="FFFFFF"/>
                <w:sz w:val="15"/>
              </w:rPr>
              <w:t>Deliverable</w:t>
            </w:r>
          </w:p>
        </w:tc>
        <w:tc>
          <w:tcPr>
            <w:tcW w:w="4392" w:type="dxa"/>
            <w:shd w:val="clear" w:color="auto" w:fill="2E5E3F"/>
            <w:tcMar>
              <w:top w:w="60" w:type="dxa"/>
              <w:left w:w="70" w:type="dxa"/>
              <w:bottom w:w="60" w:type="dxa"/>
              <w:right w:w="70" w:type="dxa"/>
            </w:tcMar>
          </w:tcPr>
          <w:p w14:paraId="4E682CD0" w14:textId="77777777" w:rsidR="00A33BA3" w:rsidRDefault="00000000">
            <w:r>
              <w:rPr>
                <w:b/>
                <w:color w:val="FFFFFF"/>
                <w:sz w:val="15"/>
              </w:rPr>
              <w:t>Description</w:t>
            </w:r>
          </w:p>
        </w:tc>
        <w:tc>
          <w:tcPr>
            <w:tcW w:w="3096" w:type="dxa"/>
            <w:shd w:val="clear" w:color="auto" w:fill="2E5E3F"/>
            <w:tcMar>
              <w:top w:w="60" w:type="dxa"/>
              <w:left w:w="70" w:type="dxa"/>
              <w:bottom w:w="60" w:type="dxa"/>
              <w:right w:w="70" w:type="dxa"/>
            </w:tcMar>
          </w:tcPr>
          <w:p w14:paraId="0D8BF724" w14:textId="77777777" w:rsidR="00A33BA3" w:rsidRDefault="00000000">
            <w:r>
              <w:rPr>
                <w:b/>
                <w:color w:val="FFFFFF"/>
                <w:sz w:val="15"/>
              </w:rPr>
              <w:t>Minimum acceptance criterion</w:t>
            </w:r>
          </w:p>
        </w:tc>
      </w:tr>
      <w:tr w:rsidR="00A33BA3" w14:paraId="1549172E" w14:textId="77777777">
        <w:trPr>
          <w:jc w:val="center"/>
        </w:trPr>
        <w:tc>
          <w:tcPr>
            <w:tcW w:w="1944" w:type="dxa"/>
            <w:tcMar>
              <w:top w:w="60" w:type="dxa"/>
              <w:left w:w="70" w:type="dxa"/>
              <w:bottom w:w="60" w:type="dxa"/>
              <w:right w:w="70" w:type="dxa"/>
            </w:tcMar>
          </w:tcPr>
          <w:p w14:paraId="60F506B9" w14:textId="77777777" w:rsidR="00A33BA3" w:rsidRDefault="00000000">
            <w:r>
              <w:rPr>
                <w:sz w:val="15"/>
              </w:rPr>
              <w:t>Research paper</w:t>
            </w:r>
          </w:p>
        </w:tc>
        <w:tc>
          <w:tcPr>
            <w:tcW w:w="4392" w:type="dxa"/>
            <w:tcMar>
              <w:top w:w="60" w:type="dxa"/>
              <w:left w:w="70" w:type="dxa"/>
              <w:bottom w:w="60" w:type="dxa"/>
              <w:right w:w="70" w:type="dxa"/>
            </w:tcMar>
          </w:tcPr>
          <w:p w14:paraId="330FCED5" w14:textId="77777777" w:rsidR="00A33BA3" w:rsidRDefault="00000000">
            <w:proofErr w:type="gramStart"/>
            <w:r>
              <w:rPr>
                <w:sz w:val="15"/>
              </w:rPr>
              <w:t>6-8 page</w:t>
            </w:r>
            <w:proofErr w:type="gramEnd"/>
            <w:r>
              <w:rPr>
                <w:sz w:val="15"/>
              </w:rPr>
              <w:t xml:space="preserve"> conference-style paper covering motivation, method, results, discussion, and limitations.</w:t>
            </w:r>
          </w:p>
        </w:tc>
        <w:tc>
          <w:tcPr>
            <w:tcW w:w="3096" w:type="dxa"/>
            <w:tcMar>
              <w:top w:w="60" w:type="dxa"/>
              <w:left w:w="70" w:type="dxa"/>
              <w:bottom w:w="60" w:type="dxa"/>
              <w:right w:w="70" w:type="dxa"/>
            </w:tcMar>
          </w:tcPr>
          <w:p w14:paraId="007EA33D" w14:textId="77777777" w:rsidR="00A33BA3" w:rsidRDefault="00000000">
            <w:r>
              <w:rPr>
                <w:sz w:val="15"/>
              </w:rPr>
              <w:t>Clearly answers RQ1-RQ4 using result tables and plots.</w:t>
            </w:r>
          </w:p>
        </w:tc>
      </w:tr>
      <w:tr w:rsidR="00A33BA3" w14:paraId="66953D0D" w14:textId="77777777">
        <w:trPr>
          <w:jc w:val="center"/>
        </w:trPr>
        <w:tc>
          <w:tcPr>
            <w:tcW w:w="1944" w:type="dxa"/>
            <w:tcMar>
              <w:top w:w="60" w:type="dxa"/>
              <w:left w:w="70" w:type="dxa"/>
              <w:bottom w:w="60" w:type="dxa"/>
              <w:right w:w="70" w:type="dxa"/>
            </w:tcMar>
          </w:tcPr>
          <w:p w14:paraId="300B0625" w14:textId="77777777" w:rsidR="00A33BA3" w:rsidRDefault="00000000">
            <w:r>
              <w:rPr>
                <w:sz w:val="15"/>
              </w:rPr>
              <w:t>Code repository</w:t>
            </w:r>
          </w:p>
        </w:tc>
        <w:tc>
          <w:tcPr>
            <w:tcW w:w="4392" w:type="dxa"/>
            <w:tcMar>
              <w:top w:w="60" w:type="dxa"/>
              <w:left w:w="70" w:type="dxa"/>
              <w:bottom w:w="60" w:type="dxa"/>
              <w:right w:w="70" w:type="dxa"/>
            </w:tcMar>
          </w:tcPr>
          <w:p w14:paraId="31F794E4" w14:textId="77777777" w:rsidR="00A33BA3" w:rsidRDefault="00000000">
            <w:r>
              <w:rPr>
                <w:sz w:val="15"/>
              </w:rPr>
              <w:t>Reproducible PyTorch benchmark with scripts and configuration.</w:t>
            </w:r>
          </w:p>
        </w:tc>
        <w:tc>
          <w:tcPr>
            <w:tcW w:w="3096" w:type="dxa"/>
            <w:tcMar>
              <w:top w:w="60" w:type="dxa"/>
              <w:left w:w="70" w:type="dxa"/>
              <w:bottom w:w="60" w:type="dxa"/>
              <w:right w:w="70" w:type="dxa"/>
            </w:tcMar>
          </w:tcPr>
          <w:p w14:paraId="0217D00D" w14:textId="77777777" w:rsidR="00A33BA3" w:rsidRDefault="00000000">
            <w:r>
              <w:rPr>
                <w:sz w:val="15"/>
              </w:rPr>
              <w:t>A fresh clone can reproduce the main result table with documented commands.</w:t>
            </w:r>
          </w:p>
        </w:tc>
      </w:tr>
      <w:tr w:rsidR="00A33BA3" w14:paraId="769ED515" w14:textId="77777777">
        <w:trPr>
          <w:jc w:val="center"/>
        </w:trPr>
        <w:tc>
          <w:tcPr>
            <w:tcW w:w="1944" w:type="dxa"/>
            <w:tcMar>
              <w:top w:w="60" w:type="dxa"/>
              <w:left w:w="70" w:type="dxa"/>
              <w:bottom w:w="60" w:type="dxa"/>
              <w:right w:w="70" w:type="dxa"/>
            </w:tcMar>
          </w:tcPr>
          <w:p w14:paraId="0654185F" w14:textId="77777777" w:rsidR="00A33BA3" w:rsidRDefault="00000000">
            <w:r>
              <w:rPr>
                <w:sz w:val="15"/>
              </w:rPr>
              <w:t>Experiment report</w:t>
            </w:r>
          </w:p>
        </w:tc>
        <w:tc>
          <w:tcPr>
            <w:tcW w:w="4392" w:type="dxa"/>
            <w:tcMar>
              <w:top w:w="60" w:type="dxa"/>
              <w:left w:w="70" w:type="dxa"/>
              <w:bottom w:w="60" w:type="dxa"/>
              <w:right w:w="70" w:type="dxa"/>
            </w:tcMar>
          </w:tcPr>
          <w:p w14:paraId="6337B1E0" w14:textId="77777777" w:rsidR="00A33BA3" w:rsidRDefault="00000000">
            <w:r>
              <w:rPr>
                <w:sz w:val="15"/>
              </w:rPr>
              <w:t>Supporting material with design choices, validation, and critical appraisal.</w:t>
            </w:r>
          </w:p>
        </w:tc>
        <w:tc>
          <w:tcPr>
            <w:tcW w:w="3096" w:type="dxa"/>
            <w:tcMar>
              <w:top w:w="60" w:type="dxa"/>
              <w:left w:w="70" w:type="dxa"/>
              <w:bottom w:w="60" w:type="dxa"/>
              <w:right w:w="70" w:type="dxa"/>
            </w:tcMar>
          </w:tcPr>
          <w:p w14:paraId="6AAFD582" w14:textId="77777777" w:rsidR="00A33BA3" w:rsidRDefault="00000000">
            <w:r>
              <w:rPr>
                <w:sz w:val="15"/>
              </w:rPr>
              <w:t>Includes ablations or failed experiments where relevant.</w:t>
            </w:r>
          </w:p>
        </w:tc>
      </w:tr>
      <w:tr w:rsidR="00A33BA3" w14:paraId="6DE41457" w14:textId="77777777">
        <w:trPr>
          <w:jc w:val="center"/>
        </w:trPr>
        <w:tc>
          <w:tcPr>
            <w:tcW w:w="1944" w:type="dxa"/>
            <w:tcMar>
              <w:top w:w="60" w:type="dxa"/>
              <w:left w:w="70" w:type="dxa"/>
              <w:bottom w:w="60" w:type="dxa"/>
              <w:right w:w="70" w:type="dxa"/>
            </w:tcMar>
          </w:tcPr>
          <w:p w14:paraId="4661864F" w14:textId="77777777" w:rsidR="00A33BA3" w:rsidRDefault="00000000">
            <w:r>
              <w:rPr>
                <w:sz w:val="15"/>
              </w:rPr>
              <w:t>Demo</w:t>
            </w:r>
          </w:p>
        </w:tc>
        <w:tc>
          <w:tcPr>
            <w:tcW w:w="4392" w:type="dxa"/>
            <w:tcMar>
              <w:top w:w="60" w:type="dxa"/>
              <w:left w:w="70" w:type="dxa"/>
              <w:bottom w:w="60" w:type="dxa"/>
              <w:right w:w="70" w:type="dxa"/>
            </w:tcMar>
          </w:tcPr>
          <w:p w14:paraId="266A4BF5" w14:textId="77777777" w:rsidR="00A33BA3" w:rsidRDefault="00000000">
            <w:r>
              <w:rPr>
                <w:sz w:val="15"/>
              </w:rPr>
              <w:t>Short video or live demonstration of training, unlearning, and evaluation commands.</w:t>
            </w:r>
          </w:p>
        </w:tc>
        <w:tc>
          <w:tcPr>
            <w:tcW w:w="3096" w:type="dxa"/>
            <w:tcMar>
              <w:top w:w="60" w:type="dxa"/>
              <w:left w:w="70" w:type="dxa"/>
              <w:bottom w:w="60" w:type="dxa"/>
              <w:right w:w="70" w:type="dxa"/>
            </w:tcMar>
          </w:tcPr>
          <w:p w14:paraId="56F0C5E0" w14:textId="77777777" w:rsidR="00A33BA3" w:rsidRDefault="00000000">
            <w:r>
              <w:rPr>
                <w:sz w:val="15"/>
              </w:rPr>
              <w:t>Shows one complete run from model training to result output.</w:t>
            </w:r>
          </w:p>
        </w:tc>
      </w:tr>
      <w:tr w:rsidR="00A33BA3" w14:paraId="329E3D6B" w14:textId="77777777">
        <w:trPr>
          <w:jc w:val="center"/>
        </w:trPr>
        <w:tc>
          <w:tcPr>
            <w:tcW w:w="1944" w:type="dxa"/>
            <w:tcMar>
              <w:top w:w="60" w:type="dxa"/>
              <w:left w:w="70" w:type="dxa"/>
              <w:bottom w:w="60" w:type="dxa"/>
              <w:right w:w="70" w:type="dxa"/>
            </w:tcMar>
          </w:tcPr>
          <w:p w14:paraId="61ED3202" w14:textId="77777777" w:rsidR="00A33BA3" w:rsidRDefault="00000000">
            <w:r>
              <w:rPr>
                <w:sz w:val="15"/>
              </w:rPr>
              <w:t>ISx4 artefact note</w:t>
            </w:r>
          </w:p>
        </w:tc>
        <w:tc>
          <w:tcPr>
            <w:tcW w:w="4392" w:type="dxa"/>
            <w:tcMar>
              <w:top w:w="60" w:type="dxa"/>
              <w:left w:w="70" w:type="dxa"/>
              <w:bottom w:w="60" w:type="dxa"/>
              <w:right w:w="70" w:type="dxa"/>
            </w:tcMar>
          </w:tcPr>
          <w:p w14:paraId="63A45FD9" w14:textId="77777777" w:rsidR="00A33BA3" w:rsidRDefault="00000000">
            <w:r>
              <w:rPr>
                <w:sz w:val="15"/>
              </w:rPr>
              <w:t>One-page practical note explaining what the benchmark does and does not prove.</w:t>
            </w:r>
          </w:p>
        </w:tc>
        <w:tc>
          <w:tcPr>
            <w:tcW w:w="3096" w:type="dxa"/>
            <w:tcMar>
              <w:top w:w="60" w:type="dxa"/>
              <w:left w:w="70" w:type="dxa"/>
              <w:bottom w:w="60" w:type="dxa"/>
              <w:right w:w="70" w:type="dxa"/>
            </w:tcMar>
          </w:tcPr>
          <w:p w14:paraId="33FE01F7" w14:textId="77777777" w:rsidR="00A33BA3" w:rsidRDefault="00000000">
            <w:r>
              <w:rPr>
                <w:sz w:val="15"/>
              </w:rPr>
              <w:t>Avoids legal overclaiming and identifies production requirements not covered by the MSc.</w:t>
            </w:r>
          </w:p>
        </w:tc>
      </w:tr>
    </w:tbl>
    <w:p w14:paraId="7BA6FFCB" w14:textId="77777777" w:rsidR="00A33BA3" w:rsidRDefault="00A33BA3">
      <w:pPr>
        <w:spacing w:after="40"/>
      </w:pPr>
    </w:p>
    <w:p w14:paraId="50B00B5A" w14:textId="77777777" w:rsidR="00A33BA3" w:rsidRDefault="00000000">
      <w:pPr>
        <w:pStyle w:val="Heading1"/>
      </w:pPr>
      <w:r>
        <w:rPr>
          <w:rFonts w:ascii="Arial" w:eastAsia="Arial" w:hAnsi="Arial"/>
        </w:rPr>
        <w:t>9. Twelve-Week Project Plan</w:t>
      </w:r>
    </w:p>
    <w:tbl>
      <w:tblPr>
        <w:tblStyle w:val="TableGrid"/>
        <w:tblW w:w="0" w:type="auto"/>
        <w:jc w:val="center"/>
        <w:tblLook w:val="04A0" w:firstRow="1" w:lastRow="0" w:firstColumn="1" w:lastColumn="0" w:noHBand="0" w:noVBand="1"/>
      </w:tblPr>
      <w:tblGrid>
        <w:gridCol w:w="936"/>
        <w:gridCol w:w="5832"/>
        <w:gridCol w:w="2664"/>
      </w:tblGrid>
      <w:tr w:rsidR="00A33BA3" w14:paraId="3B183693" w14:textId="77777777">
        <w:trPr>
          <w:jc w:val="center"/>
        </w:trPr>
        <w:tc>
          <w:tcPr>
            <w:tcW w:w="936" w:type="dxa"/>
            <w:shd w:val="clear" w:color="auto" w:fill="2E5E3F"/>
            <w:tcMar>
              <w:top w:w="60" w:type="dxa"/>
              <w:left w:w="70" w:type="dxa"/>
              <w:bottom w:w="60" w:type="dxa"/>
              <w:right w:w="70" w:type="dxa"/>
            </w:tcMar>
          </w:tcPr>
          <w:p w14:paraId="0CB0583C" w14:textId="77777777" w:rsidR="00A33BA3" w:rsidRDefault="00000000">
            <w:r>
              <w:rPr>
                <w:b/>
                <w:color w:val="FFFFFF"/>
                <w:sz w:val="15"/>
              </w:rPr>
              <w:t>Weeks</w:t>
            </w:r>
          </w:p>
        </w:tc>
        <w:tc>
          <w:tcPr>
            <w:tcW w:w="5832" w:type="dxa"/>
            <w:shd w:val="clear" w:color="auto" w:fill="2E5E3F"/>
            <w:tcMar>
              <w:top w:w="60" w:type="dxa"/>
              <w:left w:w="70" w:type="dxa"/>
              <w:bottom w:w="60" w:type="dxa"/>
              <w:right w:w="70" w:type="dxa"/>
            </w:tcMar>
          </w:tcPr>
          <w:p w14:paraId="6435B5C9" w14:textId="77777777" w:rsidR="00A33BA3" w:rsidRDefault="00000000">
            <w:r>
              <w:rPr>
                <w:b/>
                <w:color w:val="FFFFFF"/>
                <w:sz w:val="15"/>
              </w:rPr>
              <w:t>Focus</w:t>
            </w:r>
          </w:p>
        </w:tc>
        <w:tc>
          <w:tcPr>
            <w:tcW w:w="2664" w:type="dxa"/>
            <w:shd w:val="clear" w:color="auto" w:fill="2E5E3F"/>
            <w:tcMar>
              <w:top w:w="60" w:type="dxa"/>
              <w:left w:w="70" w:type="dxa"/>
              <w:bottom w:w="60" w:type="dxa"/>
              <w:right w:w="70" w:type="dxa"/>
            </w:tcMar>
          </w:tcPr>
          <w:p w14:paraId="7B8BBE80" w14:textId="77777777" w:rsidR="00A33BA3" w:rsidRDefault="00000000">
            <w:r>
              <w:rPr>
                <w:b/>
                <w:color w:val="FFFFFF"/>
                <w:sz w:val="15"/>
              </w:rPr>
              <w:t>Milestone</w:t>
            </w:r>
          </w:p>
        </w:tc>
      </w:tr>
      <w:tr w:rsidR="00A33BA3" w14:paraId="1280C9E1" w14:textId="77777777">
        <w:trPr>
          <w:jc w:val="center"/>
        </w:trPr>
        <w:tc>
          <w:tcPr>
            <w:tcW w:w="936" w:type="dxa"/>
            <w:tcMar>
              <w:top w:w="60" w:type="dxa"/>
              <w:left w:w="70" w:type="dxa"/>
              <w:bottom w:w="60" w:type="dxa"/>
              <w:right w:w="70" w:type="dxa"/>
            </w:tcMar>
          </w:tcPr>
          <w:p w14:paraId="2AF28BD5" w14:textId="77777777" w:rsidR="00A33BA3" w:rsidRDefault="00000000">
            <w:r>
              <w:rPr>
                <w:sz w:val="15"/>
              </w:rPr>
              <w:t>1</w:t>
            </w:r>
          </w:p>
        </w:tc>
        <w:tc>
          <w:tcPr>
            <w:tcW w:w="5832" w:type="dxa"/>
            <w:tcMar>
              <w:top w:w="60" w:type="dxa"/>
              <w:left w:w="70" w:type="dxa"/>
              <w:bottom w:w="60" w:type="dxa"/>
              <w:right w:w="70" w:type="dxa"/>
            </w:tcMar>
          </w:tcPr>
          <w:p w14:paraId="35EB2978" w14:textId="77777777" w:rsidR="00A33BA3" w:rsidRDefault="00000000">
            <w:r>
              <w:rPr>
                <w:sz w:val="15"/>
              </w:rPr>
              <w:t>Finalise scope; set up GitLab repository; complete focused reading list; define experiment protocol.</w:t>
            </w:r>
          </w:p>
        </w:tc>
        <w:tc>
          <w:tcPr>
            <w:tcW w:w="2664" w:type="dxa"/>
            <w:tcMar>
              <w:top w:w="60" w:type="dxa"/>
              <w:left w:w="70" w:type="dxa"/>
              <w:bottom w:w="60" w:type="dxa"/>
              <w:right w:w="70" w:type="dxa"/>
            </w:tcMar>
          </w:tcPr>
          <w:p w14:paraId="19A2B830" w14:textId="77777777" w:rsidR="00A33BA3" w:rsidRDefault="00000000">
            <w:r>
              <w:rPr>
                <w:sz w:val="15"/>
              </w:rPr>
              <w:t>Scope and experiment plan frozen.</w:t>
            </w:r>
          </w:p>
        </w:tc>
      </w:tr>
      <w:tr w:rsidR="00A33BA3" w14:paraId="04623AA7" w14:textId="77777777">
        <w:trPr>
          <w:jc w:val="center"/>
        </w:trPr>
        <w:tc>
          <w:tcPr>
            <w:tcW w:w="936" w:type="dxa"/>
            <w:tcMar>
              <w:top w:w="60" w:type="dxa"/>
              <w:left w:w="70" w:type="dxa"/>
              <w:bottom w:w="60" w:type="dxa"/>
              <w:right w:w="70" w:type="dxa"/>
            </w:tcMar>
          </w:tcPr>
          <w:p w14:paraId="71CD784E" w14:textId="77777777" w:rsidR="00A33BA3" w:rsidRDefault="00000000">
            <w:r>
              <w:rPr>
                <w:sz w:val="15"/>
              </w:rPr>
              <w:t>2</w:t>
            </w:r>
          </w:p>
        </w:tc>
        <w:tc>
          <w:tcPr>
            <w:tcW w:w="5832" w:type="dxa"/>
            <w:tcMar>
              <w:top w:w="60" w:type="dxa"/>
              <w:left w:w="70" w:type="dxa"/>
              <w:bottom w:w="60" w:type="dxa"/>
              <w:right w:w="70" w:type="dxa"/>
            </w:tcMar>
          </w:tcPr>
          <w:p w14:paraId="728D31AF" w14:textId="77777777" w:rsidR="00A33BA3" w:rsidRDefault="00000000">
            <w:r>
              <w:rPr>
                <w:sz w:val="15"/>
              </w:rPr>
              <w:t>Preprocess Adult dataset; implement PyTorch MLP; establish train/validation/test split.</w:t>
            </w:r>
          </w:p>
        </w:tc>
        <w:tc>
          <w:tcPr>
            <w:tcW w:w="2664" w:type="dxa"/>
            <w:tcMar>
              <w:top w:w="60" w:type="dxa"/>
              <w:left w:w="70" w:type="dxa"/>
              <w:bottom w:w="60" w:type="dxa"/>
              <w:right w:w="70" w:type="dxa"/>
            </w:tcMar>
          </w:tcPr>
          <w:p w14:paraId="2DB7EF40" w14:textId="77777777" w:rsidR="00A33BA3" w:rsidRDefault="00000000">
            <w:r>
              <w:rPr>
                <w:sz w:val="15"/>
              </w:rPr>
              <w:t>Baseline model trains reproducibly.</w:t>
            </w:r>
          </w:p>
        </w:tc>
      </w:tr>
      <w:tr w:rsidR="00A33BA3" w14:paraId="312925FC" w14:textId="77777777">
        <w:trPr>
          <w:jc w:val="center"/>
        </w:trPr>
        <w:tc>
          <w:tcPr>
            <w:tcW w:w="936" w:type="dxa"/>
            <w:tcMar>
              <w:top w:w="60" w:type="dxa"/>
              <w:left w:w="70" w:type="dxa"/>
              <w:bottom w:w="60" w:type="dxa"/>
              <w:right w:w="70" w:type="dxa"/>
            </w:tcMar>
          </w:tcPr>
          <w:p w14:paraId="4770C852" w14:textId="77777777" w:rsidR="00A33BA3" w:rsidRDefault="00000000">
            <w:r>
              <w:rPr>
                <w:sz w:val="15"/>
              </w:rPr>
              <w:t>3</w:t>
            </w:r>
          </w:p>
        </w:tc>
        <w:tc>
          <w:tcPr>
            <w:tcW w:w="5832" w:type="dxa"/>
            <w:tcMar>
              <w:top w:w="60" w:type="dxa"/>
              <w:left w:w="70" w:type="dxa"/>
              <w:bottom w:w="60" w:type="dxa"/>
              <w:right w:w="70" w:type="dxa"/>
            </w:tcMar>
          </w:tcPr>
          <w:p w14:paraId="4CC1DFB5" w14:textId="77777777" w:rsidR="00A33BA3" w:rsidRDefault="00000000">
            <w:r>
              <w:rPr>
                <w:sz w:val="15"/>
              </w:rPr>
              <w:t>Implement full-retraining baseline and metric pipeline.</w:t>
            </w:r>
          </w:p>
        </w:tc>
        <w:tc>
          <w:tcPr>
            <w:tcW w:w="2664" w:type="dxa"/>
            <w:tcMar>
              <w:top w:w="60" w:type="dxa"/>
              <w:left w:w="70" w:type="dxa"/>
              <w:bottom w:w="60" w:type="dxa"/>
              <w:right w:w="70" w:type="dxa"/>
            </w:tcMar>
          </w:tcPr>
          <w:p w14:paraId="44B00E80" w14:textId="77777777" w:rsidR="00A33BA3" w:rsidRDefault="00000000">
            <w:r>
              <w:rPr>
                <w:sz w:val="15"/>
              </w:rPr>
              <w:t>Original and retrained models compared.</w:t>
            </w:r>
          </w:p>
        </w:tc>
      </w:tr>
      <w:tr w:rsidR="00A33BA3" w14:paraId="1090E45E" w14:textId="77777777">
        <w:trPr>
          <w:jc w:val="center"/>
        </w:trPr>
        <w:tc>
          <w:tcPr>
            <w:tcW w:w="936" w:type="dxa"/>
            <w:tcMar>
              <w:top w:w="60" w:type="dxa"/>
              <w:left w:w="70" w:type="dxa"/>
              <w:bottom w:w="60" w:type="dxa"/>
              <w:right w:w="70" w:type="dxa"/>
            </w:tcMar>
          </w:tcPr>
          <w:p w14:paraId="12A2F417" w14:textId="77777777" w:rsidR="00A33BA3" w:rsidRDefault="00000000">
            <w:r>
              <w:rPr>
                <w:sz w:val="15"/>
              </w:rPr>
              <w:t>4-5</w:t>
            </w:r>
          </w:p>
        </w:tc>
        <w:tc>
          <w:tcPr>
            <w:tcW w:w="5832" w:type="dxa"/>
            <w:tcMar>
              <w:top w:w="60" w:type="dxa"/>
              <w:left w:w="70" w:type="dxa"/>
              <w:bottom w:w="60" w:type="dxa"/>
              <w:right w:w="70" w:type="dxa"/>
            </w:tcMar>
          </w:tcPr>
          <w:p w14:paraId="107ACB09" w14:textId="77777777" w:rsidR="00A33BA3" w:rsidRDefault="00000000">
            <w:r>
              <w:rPr>
                <w:sz w:val="15"/>
              </w:rPr>
              <w:t>Implement retain-set fine-tuning and gradient-ascent unlearning; run initial experiments.</w:t>
            </w:r>
          </w:p>
        </w:tc>
        <w:tc>
          <w:tcPr>
            <w:tcW w:w="2664" w:type="dxa"/>
            <w:tcMar>
              <w:top w:w="60" w:type="dxa"/>
              <w:left w:w="70" w:type="dxa"/>
              <w:bottom w:w="60" w:type="dxa"/>
              <w:right w:w="70" w:type="dxa"/>
            </w:tcMar>
          </w:tcPr>
          <w:p w14:paraId="51CBBFFB" w14:textId="77777777" w:rsidR="00A33BA3" w:rsidRDefault="00000000">
            <w:r>
              <w:rPr>
                <w:sz w:val="15"/>
              </w:rPr>
              <w:t>First approximate-method results table.</w:t>
            </w:r>
          </w:p>
        </w:tc>
      </w:tr>
      <w:tr w:rsidR="00A33BA3" w14:paraId="54C2D085" w14:textId="77777777">
        <w:trPr>
          <w:jc w:val="center"/>
        </w:trPr>
        <w:tc>
          <w:tcPr>
            <w:tcW w:w="936" w:type="dxa"/>
            <w:tcMar>
              <w:top w:w="60" w:type="dxa"/>
              <w:left w:w="70" w:type="dxa"/>
              <w:bottom w:w="60" w:type="dxa"/>
              <w:right w:w="70" w:type="dxa"/>
            </w:tcMar>
          </w:tcPr>
          <w:p w14:paraId="21959802" w14:textId="77777777" w:rsidR="00A33BA3" w:rsidRDefault="00000000">
            <w:r>
              <w:rPr>
                <w:sz w:val="15"/>
              </w:rPr>
              <w:t>6-7</w:t>
            </w:r>
          </w:p>
        </w:tc>
        <w:tc>
          <w:tcPr>
            <w:tcW w:w="5832" w:type="dxa"/>
            <w:tcMar>
              <w:top w:w="60" w:type="dxa"/>
              <w:left w:w="70" w:type="dxa"/>
              <w:bottom w:w="60" w:type="dxa"/>
              <w:right w:w="70" w:type="dxa"/>
            </w:tcMar>
          </w:tcPr>
          <w:p w14:paraId="02F53E80" w14:textId="77777777" w:rsidR="00A33BA3" w:rsidRDefault="00000000">
            <w:r>
              <w:rPr>
                <w:sz w:val="15"/>
              </w:rPr>
              <w:t>Implement simple SISA/sharded retraining if feasible; otherwise deepen gradient-ascent ablation.</w:t>
            </w:r>
          </w:p>
        </w:tc>
        <w:tc>
          <w:tcPr>
            <w:tcW w:w="2664" w:type="dxa"/>
            <w:tcMar>
              <w:top w:w="60" w:type="dxa"/>
              <w:left w:w="70" w:type="dxa"/>
              <w:bottom w:w="60" w:type="dxa"/>
              <w:right w:w="70" w:type="dxa"/>
            </w:tcMar>
          </w:tcPr>
          <w:p w14:paraId="156B69B4" w14:textId="77777777" w:rsidR="00A33BA3" w:rsidRDefault="00000000">
            <w:r>
              <w:rPr>
                <w:sz w:val="15"/>
              </w:rPr>
              <w:t>Second method or ablation complete.</w:t>
            </w:r>
          </w:p>
        </w:tc>
      </w:tr>
      <w:tr w:rsidR="00A33BA3" w14:paraId="2DC7008C" w14:textId="77777777">
        <w:trPr>
          <w:jc w:val="center"/>
        </w:trPr>
        <w:tc>
          <w:tcPr>
            <w:tcW w:w="936" w:type="dxa"/>
            <w:tcMar>
              <w:top w:w="60" w:type="dxa"/>
              <w:left w:w="70" w:type="dxa"/>
              <w:bottom w:w="60" w:type="dxa"/>
              <w:right w:w="70" w:type="dxa"/>
            </w:tcMar>
          </w:tcPr>
          <w:p w14:paraId="50C65CA7" w14:textId="77777777" w:rsidR="00A33BA3" w:rsidRDefault="00000000">
            <w:r>
              <w:rPr>
                <w:sz w:val="15"/>
              </w:rPr>
              <w:t>8</w:t>
            </w:r>
          </w:p>
        </w:tc>
        <w:tc>
          <w:tcPr>
            <w:tcW w:w="5832" w:type="dxa"/>
            <w:tcMar>
              <w:top w:w="60" w:type="dxa"/>
              <w:left w:w="70" w:type="dxa"/>
              <w:bottom w:w="60" w:type="dxa"/>
              <w:right w:w="70" w:type="dxa"/>
            </w:tcMar>
          </w:tcPr>
          <w:p w14:paraId="64DD4071" w14:textId="77777777" w:rsidR="00A33BA3" w:rsidRDefault="00000000">
            <w:r>
              <w:rPr>
                <w:sz w:val="15"/>
              </w:rPr>
              <w:t>Implement simple confidence/loss-based membership-inference evaluation.</w:t>
            </w:r>
          </w:p>
        </w:tc>
        <w:tc>
          <w:tcPr>
            <w:tcW w:w="2664" w:type="dxa"/>
            <w:tcMar>
              <w:top w:w="60" w:type="dxa"/>
              <w:left w:w="70" w:type="dxa"/>
              <w:bottom w:w="60" w:type="dxa"/>
              <w:right w:w="70" w:type="dxa"/>
            </w:tcMar>
          </w:tcPr>
          <w:p w14:paraId="16FE1DB9" w14:textId="77777777" w:rsidR="00A33BA3" w:rsidRDefault="00000000">
            <w:r>
              <w:rPr>
                <w:sz w:val="15"/>
              </w:rPr>
              <w:t>MIA results added to benchmark.</w:t>
            </w:r>
          </w:p>
        </w:tc>
      </w:tr>
      <w:tr w:rsidR="00A33BA3" w14:paraId="43164813" w14:textId="77777777">
        <w:trPr>
          <w:jc w:val="center"/>
        </w:trPr>
        <w:tc>
          <w:tcPr>
            <w:tcW w:w="936" w:type="dxa"/>
            <w:tcMar>
              <w:top w:w="60" w:type="dxa"/>
              <w:left w:w="70" w:type="dxa"/>
              <w:bottom w:w="60" w:type="dxa"/>
              <w:right w:w="70" w:type="dxa"/>
            </w:tcMar>
          </w:tcPr>
          <w:p w14:paraId="466CD97E" w14:textId="77777777" w:rsidR="00A33BA3" w:rsidRDefault="00000000">
            <w:r>
              <w:rPr>
                <w:sz w:val="15"/>
              </w:rPr>
              <w:t>9</w:t>
            </w:r>
          </w:p>
        </w:tc>
        <w:tc>
          <w:tcPr>
            <w:tcW w:w="5832" w:type="dxa"/>
            <w:tcMar>
              <w:top w:w="60" w:type="dxa"/>
              <w:left w:w="70" w:type="dxa"/>
              <w:bottom w:w="60" w:type="dxa"/>
              <w:right w:w="70" w:type="dxa"/>
            </w:tcMar>
          </w:tcPr>
          <w:p w14:paraId="58E0A06C" w14:textId="77777777" w:rsidR="00A33BA3" w:rsidRDefault="00000000">
            <w:r>
              <w:rPr>
                <w:sz w:val="15"/>
              </w:rPr>
              <w:t>Run main experiments across seeds; analyse runtime and utility/forgetting trade-offs.</w:t>
            </w:r>
          </w:p>
        </w:tc>
        <w:tc>
          <w:tcPr>
            <w:tcW w:w="2664" w:type="dxa"/>
            <w:tcMar>
              <w:top w:w="60" w:type="dxa"/>
              <w:left w:w="70" w:type="dxa"/>
              <w:bottom w:w="60" w:type="dxa"/>
              <w:right w:w="70" w:type="dxa"/>
            </w:tcMar>
          </w:tcPr>
          <w:p w14:paraId="3C772D6B" w14:textId="77777777" w:rsidR="00A33BA3" w:rsidRDefault="00000000">
            <w:proofErr w:type="gramStart"/>
            <w:r>
              <w:rPr>
                <w:sz w:val="15"/>
              </w:rPr>
              <w:t>Final result</w:t>
            </w:r>
            <w:proofErr w:type="gramEnd"/>
            <w:r>
              <w:rPr>
                <w:sz w:val="15"/>
              </w:rPr>
              <w:t xml:space="preserve"> tables and plots ready.</w:t>
            </w:r>
          </w:p>
        </w:tc>
      </w:tr>
      <w:tr w:rsidR="00A33BA3" w14:paraId="7EEC182A" w14:textId="77777777">
        <w:trPr>
          <w:jc w:val="center"/>
        </w:trPr>
        <w:tc>
          <w:tcPr>
            <w:tcW w:w="936" w:type="dxa"/>
            <w:tcMar>
              <w:top w:w="60" w:type="dxa"/>
              <w:left w:w="70" w:type="dxa"/>
              <w:bottom w:w="60" w:type="dxa"/>
              <w:right w:w="70" w:type="dxa"/>
            </w:tcMar>
          </w:tcPr>
          <w:p w14:paraId="48D7D173" w14:textId="77777777" w:rsidR="00A33BA3" w:rsidRDefault="00000000">
            <w:r>
              <w:rPr>
                <w:sz w:val="15"/>
              </w:rPr>
              <w:t>10</w:t>
            </w:r>
          </w:p>
        </w:tc>
        <w:tc>
          <w:tcPr>
            <w:tcW w:w="5832" w:type="dxa"/>
            <w:tcMar>
              <w:top w:w="60" w:type="dxa"/>
              <w:left w:w="70" w:type="dxa"/>
              <w:bottom w:w="60" w:type="dxa"/>
              <w:right w:w="70" w:type="dxa"/>
            </w:tcMar>
          </w:tcPr>
          <w:p w14:paraId="1A8B0CBC" w14:textId="77777777" w:rsidR="00A33BA3" w:rsidRDefault="00000000">
            <w:r>
              <w:rPr>
                <w:sz w:val="15"/>
              </w:rPr>
              <w:t>Write first full paper draft and supporting report.</w:t>
            </w:r>
          </w:p>
        </w:tc>
        <w:tc>
          <w:tcPr>
            <w:tcW w:w="2664" w:type="dxa"/>
            <w:tcMar>
              <w:top w:w="60" w:type="dxa"/>
              <w:left w:w="70" w:type="dxa"/>
              <w:bottom w:w="60" w:type="dxa"/>
              <w:right w:w="70" w:type="dxa"/>
            </w:tcMar>
          </w:tcPr>
          <w:p w14:paraId="6374479C" w14:textId="77777777" w:rsidR="00A33BA3" w:rsidRDefault="00000000">
            <w:r>
              <w:rPr>
                <w:sz w:val="15"/>
              </w:rPr>
              <w:t>Draft sent to supervisor.</w:t>
            </w:r>
          </w:p>
        </w:tc>
      </w:tr>
      <w:tr w:rsidR="00A33BA3" w14:paraId="4FD4686B" w14:textId="77777777">
        <w:trPr>
          <w:jc w:val="center"/>
        </w:trPr>
        <w:tc>
          <w:tcPr>
            <w:tcW w:w="936" w:type="dxa"/>
            <w:tcMar>
              <w:top w:w="60" w:type="dxa"/>
              <w:left w:w="70" w:type="dxa"/>
              <w:bottom w:w="60" w:type="dxa"/>
              <w:right w:w="70" w:type="dxa"/>
            </w:tcMar>
          </w:tcPr>
          <w:p w14:paraId="4268040F" w14:textId="77777777" w:rsidR="00A33BA3" w:rsidRDefault="00000000">
            <w:r>
              <w:rPr>
                <w:sz w:val="15"/>
              </w:rPr>
              <w:t>11</w:t>
            </w:r>
          </w:p>
        </w:tc>
        <w:tc>
          <w:tcPr>
            <w:tcW w:w="5832" w:type="dxa"/>
            <w:tcMar>
              <w:top w:w="60" w:type="dxa"/>
              <w:left w:w="70" w:type="dxa"/>
              <w:bottom w:w="60" w:type="dxa"/>
              <w:right w:w="70" w:type="dxa"/>
            </w:tcMar>
          </w:tcPr>
          <w:p w14:paraId="2B709695" w14:textId="77777777" w:rsidR="00A33BA3" w:rsidRDefault="00000000">
            <w:r>
              <w:rPr>
                <w:sz w:val="15"/>
              </w:rPr>
              <w:t>Revise paper; clean repository; prepare demo.</w:t>
            </w:r>
          </w:p>
        </w:tc>
        <w:tc>
          <w:tcPr>
            <w:tcW w:w="2664" w:type="dxa"/>
            <w:tcMar>
              <w:top w:w="60" w:type="dxa"/>
              <w:left w:w="70" w:type="dxa"/>
              <w:bottom w:w="60" w:type="dxa"/>
              <w:right w:w="70" w:type="dxa"/>
            </w:tcMar>
          </w:tcPr>
          <w:p w14:paraId="194D9185" w14:textId="77777777" w:rsidR="00A33BA3" w:rsidRDefault="00000000">
            <w:r>
              <w:rPr>
                <w:sz w:val="15"/>
              </w:rPr>
              <w:t>Submission-ready artefacts.</w:t>
            </w:r>
          </w:p>
        </w:tc>
      </w:tr>
      <w:tr w:rsidR="00A33BA3" w14:paraId="5A1C07A0" w14:textId="77777777">
        <w:trPr>
          <w:jc w:val="center"/>
        </w:trPr>
        <w:tc>
          <w:tcPr>
            <w:tcW w:w="936" w:type="dxa"/>
            <w:tcMar>
              <w:top w:w="60" w:type="dxa"/>
              <w:left w:w="70" w:type="dxa"/>
              <w:bottom w:w="60" w:type="dxa"/>
              <w:right w:w="70" w:type="dxa"/>
            </w:tcMar>
          </w:tcPr>
          <w:p w14:paraId="22B6A731" w14:textId="77777777" w:rsidR="00A33BA3" w:rsidRDefault="00000000">
            <w:r>
              <w:rPr>
                <w:sz w:val="15"/>
              </w:rPr>
              <w:t>12</w:t>
            </w:r>
          </w:p>
        </w:tc>
        <w:tc>
          <w:tcPr>
            <w:tcW w:w="5832" w:type="dxa"/>
            <w:tcMar>
              <w:top w:w="60" w:type="dxa"/>
              <w:left w:w="70" w:type="dxa"/>
              <w:bottom w:w="60" w:type="dxa"/>
              <w:right w:w="70" w:type="dxa"/>
            </w:tcMar>
          </w:tcPr>
          <w:p w14:paraId="5438BFDE" w14:textId="77777777" w:rsidR="00A33BA3" w:rsidRDefault="00000000">
            <w:r>
              <w:rPr>
                <w:sz w:val="15"/>
              </w:rPr>
              <w:t>Final proofreading, packaging, and demonstration preparation.</w:t>
            </w:r>
          </w:p>
        </w:tc>
        <w:tc>
          <w:tcPr>
            <w:tcW w:w="2664" w:type="dxa"/>
            <w:tcMar>
              <w:top w:w="60" w:type="dxa"/>
              <w:left w:w="70" w:type="dxa"/>
              <w:bottom w:w="60" w:type="dxa"/>
              <w:right w:w="70" w:type="dxa"/>
            </w:tcMar>
          </w:tcPr>
          <w:p w14:paraId="202582EA" w14:textId="77777777" w:rsidR="00A33BA3" w:rsidRDefault="00000000">
            <w:r>
              <w:rPr>
                <w:sz w:val="15"/>
              </w:rPr>
              <w:t>Final submission complete.</w:t>
            </w:r>
          </w:p>
        </w:tc>
      </w:tr>
    </w:tbl>
    <w:p w14:paraId="005D5CF2" w14:textId="77777777" w:rsidR="00A33BA3" w:rsidRDefault="00A33BA3">
      <w:pPr>
        <w:spacing w:after="40"/>
      </w:pPr>
    </w:p>
    <w:p w14:paraId="18C35EE6" w14:textId="06FF02C4" w:rsidR="00A33BA3" w:rsidRDefault="00000000" w:rsidP="3F617AE4">
      <w:pPr>
        <w:pStyle w:val="Heading1"/>
        <w:rPr>
          <w:rFonts w:ascii="Arial" w:eastAsia="Arial" w:hAnsi="Arial"/>
        </w:rPr>
      </w:pPr>
      <w:r w:rsidRPr="3F617AE4">
        <w:rPr>
          <w:rFonts w:ascii="Arial" w:eastAsia="Arial" w:hAnsi="Arial"/>
        </w:rPr>
        <w:t>10. Risks</w:t>
      </w:r>
      <w:r w:rsidR="589F6496" w:rsidRPr="3F617AE4">
        <w:rPr>
          <w:rFonts w:ascii="Arial" w:eastAsia="Arial" w:hAnsi="Arial"/>
        </w:rPr>
        <w:t xml:space="preserve"> &amp; </w:t>
      </w:r>
      <w:r w:rsidRPr="3F617AE4">
        <w:rPr>
          <w:rFonts w:ascii="Arial" w:eastAsia="Arial" w:hAnsi="Arial"/>
        </w:rPr>
        <w:t>Mitigations</w:t>
      </w:r>
    </w:p>
    <w:tbl>
      <w:tblPr>
        <w:tblStyle w:val="TableGrid"/>
        <w:tblW w:w="0" w:type="auto"/>
        <w:jc w:val="center"/>
        <w:tblLook w:val="04A0" w:firstRow="1" w:lastRow="0" w:firstColumn="1" w:lastColumn="0" w:noHBand="0" w:noVBand="1"/>
      </w:tblPr>
      <w:tblGrid>
        <w:gridCol w:w="3168"/>
        <w:gridCol w:w="1224"/>
        <w:gridCol w:w="5040"/>
      </w:tblGrid>
      <w:tr w:rsidR="00A33BA3" w14:paraId="7EE105C0" w14:textId="77777777" w:rsidTr="3F617AE4">
        <w:trPr>
          <w:jc w:val="center"/>
        </w:trPr>
        <w:tc>
          <w:tcPr>
            <w:tcW w:w="3168" w:type="dxa"/>
            <w:shd w:val="clear" w:color="auto" w:fill="2E5E3F"/>
            <w:tcMar>
              <w:top w:w="60" w:type="dxa"/>
              <w:left w:w="70" w:type="dxa"/>
              <w:bottom w:w="60" w:type="dxa"/>
              <w:right w:w="70" w:type="dxa"/>
            </w:tcMar>
          </w:tcPr>
          <w:p w14:paraId="1A1C4CC3" w14:textId="77777777" w:rsidR="00A33BA3" w:rsidRDefault="00000000">
            <w:r>
              <w:rPr>
                <w:b/>
                <w:color w:val="FFFFFF"/>
                <w:sz w:val="15"/>
              </w:rPr>
              <w:t>Risk</w:t>
            </w:r>
          </w:p>
        </w:tc>
        <w:tc>
          <w:tcPr>
            <w:tcW w:w="1224" w:type="dxa"/>
            <w:shd w:val="clear" w:color="auto" w:fill="2E5E3F"/>
            <w:tcMar>
              <w:top w:w="60" w:type="dxa"/>
              <w:left w:w="70" w:type="dxa"/>
              <w:bottom w:w="60" w:type="dxa"/>
              <w:right w:w="70" w:type="dxa"/>
            </w:tcMar>
          </w:tcPr>
          <w:p w14:paraId="4AB9A751" w14:textId="77777777" w:rsidR="00A33BA3" w:rsidRDefault="00000000">
            <w:r>
              <w:rPr>
                <w:b/>
                <w:color w:val="FFFFFF"/>
                <w:sz w:val="15"/>
              </w:rPr>
              <w:t>Likelihood</w:t>
            </w:r>
          </w:p>
        </w:tc>
        <w:tc>
          <w:tcPr>
            <w:tcW w:w="5040" w:type="dxa"/>
            <w:shd w:val="clear" w:color="auto" w:fill="2E5E3F"/>
            <w:tcMar>
              <w:top w:w="60" w:type="dxa"/>
              <w:left w:w="70" w:type="dxa"/>
              <w:bottom w:w="60" w:type="dxa"/>
              <w:right w:w="70" w:type="dxa"/>
            </w:tcMar>
          </w:tcPr>
          <w:p w14:paraId="4F54AF97" w14:textId="2E502BD4" w:rsidR="00A33BA3" w:rsidRDefault="00000000">
            <w:r w:rsidRPr="3F617AE4">
              <w:rPr>
                <w:b/>
                <w:bCs/>
                <w:color w:val="FFFFFF" w:themeColor="background1"/>
                <w:sz w:val="15"/>
                <w:szCs w:val="15"/>
              </w:rPr>
              <w:t>Mitigation</w:t>
            </w:r>
          </w:p>
        </w:tc>
      </w:tr>
      <w:tr w:rsidR="00A33BA3" w14:paraId="4339EDE8" w14:textId="77777777" w:rsidTr="3F617AE4">
        <w:trPr>
          <w:jc w:val="center"/>
        </w:trPr>
        <w:tc>
          <w:tcPr>
            <w:tcW w:w="3168" w:type="dxa"/>
            <w:tcMar>
              <w:top w:w="60" w:type="dxa"/>
              <w:left w:w="70" w:type="dxa"/>
              <w:bottom w:w="60" w:type="dxa"/>
              <w:right w:w="70" w:type="dxa"/>
            </w:tcMar>
          </w:tcPr>
          <w:p w14:paraId="19A6850C" w14:textId="77777777" w:rsidR="00A33BA3" w:rsidRDefault="00000000">
            <w:r>
              <w:rPr>
                <w:sz w:val="15"/>
              </w:rPr>
              <w:t>SISA implementation consumes too much time.</w:t>
            </w:r>
          </w:p>
        </w:tc>
        <w:tc>
          <w:tcPr>
            <w:tcW w:w="1224" w:type="dxa"/>
            <w:tcMar>
              <w:top w:w="60" w:type="dxa"/>
              <w:left w:w="70" w:type="dxa"/>
              <w:bottom w:w="60" w:type="dxa"/>
              <w:right w:w="70" w:type="dxa"/>
            </w:tcMar>
          </w:tcPr>
          <w:p w14:paraId="244ADF39" w14:textId="77777777" w:rsidR="00A33BA3" w:rsidRDefault="00000000">
            <w:r>
              <w:rPr>
                <w:sz w:val="15"/>
              </w:rPr>
              <w:t>Medium</w:t>
            </w:r>
          </w:p>
        </w:tc>
        <w:tc>
          <w:tcPr>
            <w:tcW w:w="5040" w:type="dxa"/>
            <w:tcMar>
              <w:top w:w="60" w:type="dxa"/>
              <w:left w:w="70" w:type="dxa"/>
              <w:bottom w:w="60" w:type="dxa"/>
              <w:right w:w="70" w:type="dxa"/>
            </w:tcMar>
          </w:tcPr>
          <w:p w14:paraId="67625A95" w14:textId="77777777" w:rsidR="00A33BA3" w:rsidRDefault="00000000">
            <w:r>
              <w:rPr>
                <w:sz w:val="15"/>
              </w:rPr>
              <w:t>By end of week 7, either keep a minimal sharded version or drop it and replace with deeper gradient-ascent/retain-fine-tune ablations.</w:t>
            </w:r>
          </w:p>
        </w:tc>
      </w:tr>
      <w:tr w:rsidR="00A33BA3" w14:paraId="578D6ACC" w14:textId="77777777" w:rsidTr="3F617AE4">
        <w:trPr>
          <w:jc w:val="center"/>
        </w:trPr>
        <w:tc>
          <w:tcPr>
            <w:tcW w:w="3168" w:type="dxa"/>
            <w:tcMar>
              <w:top w:w="60" w:type="dxa"/>
              <w:left w:w="70" w:type="dxa"/>
              <w:bottom w:w="60" w:type="dxa"/>
              <w:right w:w="70" w:type="dxa"/>
            </w:tcMar>
          </w:tcPr>
          <w:p w14:paraId="2068A6B7" w14:textId="77777777" w:rsidR="00A33BA3" w:rsidRDefault="00000000">
            <w:r>
              <w:rPr>
                <w:sz w:val="15"/>
              </w:rPr>
              <w:t>MIA results are weak or ambiguous.</w:t>
            </w:r>
          </w:p>
        </w:tc>
        <w:tc>
          <w:tcPr>
            <w:tcW w:w="1224" w:type="dxa"/>
            <w:tcMar>
              <w:top w:w="60" w:type="dxa"/>
              <w:left w:w="70" w:type="dxa"/>
              <w:bottom w:w="60" w:type="dxa"/>
              <w:right w:w="70" w:type="dxa"/>
            </w:tcMar>
          </w:tcPr>
          <w:p w14:paraId="69D06E41" w14:textId="77777777" w:rsidR="00A33BA3" w:rsidRDefault="00000000">
            <w:r>
              <w:rPr>
                <w:sz w:val="15"/>
              </w:rPr>
              <w:t>Medium</w:t>
            </w:r>
          </w:p>
        </w:tc>
        <w:tc>
          <w:tcPr>
            <w:tcW w:w="5040" w:type="dxa"/>
            <w:tcMar>
              <w:top w:w="60" w:type="dxa"/>
              <w:left w:w="70" w:type="dxa"/>
              <w:bottom w:w="60" w:type="dxa"/>
              <w:right w:w="70" w:type="dxa"/>
            </w:tcMar>
          </w:tcPr>
          <w:p w14:paraId="7C22A128" w14:textId="77777777" w:rsidR="00A33BA3" w:rsidRDefault="00000000">
            <w:r>
              <w:rPr>
                <w:sz w:val="15"/>
              </w:rPr>
              <w:t>Report this honestly. Ambiguous verification is itself a useful finding; do not add complex attacks unless the core pipeline is complete.</w:t>
            </w:r>
          </w:p>
        </w:tc>
      </w:tr>
      <w:tr w:rsidR="00A33BA3" w14:paraId="266D25FE" w14:textId="77777777" w:rsidTr="3F617AE4">
        <w:trPr>
          <w:jc w:val="center"/>
        </w:trPr>
        <w:tc>
          <w:tcPr>
            <w:tcW w:w="3168" w:type="dxa"/>
            <w:tcMar>
              <w:top w:w="60" w:type="dxa"/>
              <w:left w:w="70" w:type="dxa"/>
              <w:bottom w:w="60" w:type="dxa"/>
              <w:right w:w="70" w:type="dxa"/>
            </w:tcMar>
          </w:tcPr>
          <w:p w14:paraId="67470A45" w14:textId="77777777" w:rsidR="00A33BA3" w:rsidRDefault="00000000">
            <w:r>
              <w:rPr>
                <w:sz w:val="15"/>
              </w:rPr>
              <w:t>Gradient ascent damages retain/test performance.</w:t>
            </w:r>
          </w:p>
        </w:tc>
        <w:tc>
          <w:tcPr>
            <w:tcW w:w="1224" w:type="dxa"/>
            <w:tcMar>
              <w:top w:w="60" w:type="dxa"/>
              <w:left w:w="70" w:type="dxa"/>
              <w:bottom w:w="60" w:type="dxa"/>
              <w:right w:w="70" w:type="dxa"/>
            </w:tcMar>
          </w:tcPr>
          <w:p w14:paraId="2B61E411" w14:textId="77777777" w:rsidR="00A33BA3" w:rsidRDefault="00000000">
            <w:r>
              <w:rPr>
                <w:sz w:val="15"/>
              </w:rPr>
              <w:t>Medium</w:t>
            </w:r>
          </w:p>
        </w:tc>
        <w:tc>
          <w:tcPr>
            <w:tcW w:w="5040" w:type="dxa"/>
            <w:tcMar>
              <w:top w:w="60" w:type="dxa"/>
              <w:left w:w="70" w:type="dxa"/>
              <w:bottom w:w="60" w:type="dxa"/>
              <w:right w:w="70" w:type="dxa"/>
            </w:tcMar>
          </w:tcPr>
          <w:p w14:paraId="65772256" w14:textId="77777777" w:rsidR="00A33BA3" w:rsidRDefault="00000000">
            <w:r>
              <w:rPr>
                <w:sz w:val="15"/>
              </w:rPr>
              <w:t>Tune small learning rates, limited steps, and retain-set recovery fine-tuning. Record utility-forgetting trade-off rather than forcing a positive result.</w:t>
            </w:r>
          </w:p>
        </w:tc>
      </w:tr>
      <w:tr w:rsidR="00A33BA3" w14:paraId="6FD50445" w14:textId="77777777" w:rsidTr="3F617AE4">
        <w:trPr>
          <w:jc w:val="center"/>
        </w:trPr>
        <w:tc>
          <w:tcPr>
            <w:tcW w:w="3168" w:type="dxa"/>
            <w:tcMar>
              <w:top w:w="60" w:type="dxa"/>
              <w:left w:w="70" w:type="dxa"/>
              <w:bottom w:w="60" w:type="dxa"/>
              <w:right w:w="70" w:type="dxa"/>
            </w:tcMar>
          </w:tcPr>
          <w:p w14:paraId="44575891" w14:textId="77777777" w:rsidR="00A33BA3" w:rsidRDefault="00000000">
            <w:r>
              <w:rPr>
                <w:sz w:val="15"/>
              </w:rPr>
              <w:t xml:space="preserve">Dataset is too </w:t>
            </w:r>
            <w:proofErr w:type="gramStart"/>
            <w:r>
              <w:rPr>
                <w:sz w:val="15"/>
              </w:rPr>
              <w:t>easy</w:t>
            </w:r>
            <w:proofErr w:type="gramEnd"/>
            <w:r>
              <w:rPr>
                <w:sz w:val="15"/>
              </w:rPr>
              <w:t xml:space="preserve"> or results are not interesting.</w:t>
            </w:r>
          </w:p>
        </w:tc>
        <w:tc>
          <w:tcPr>
            <w:tcW w:w="1224" w:type="dxa"/>
            <w:tcMar>
              <w:top w:w="60" w:type="dxa"/>
              <w:left w:w="70" w:type="dxa"/>
              <w:bottom w:w="60" w:type="dxa"/>
              <w:right w:w="70" w:type="dxa"/>
            </w:tcMar>
          </w:tcPr>
          <w:p w14:paraId="65ED7D9A" w14:textId="77777777" w:rsidR="00A33BA3" w:rsidRDefault="00000000">
            <w:r>
              <w:rPr>
                <w:sz w:val="15"/>
              </w:rPr>
              <w:t>Low-Medium</w:t>
            </w:r>
          </w:p>
        </w:tc>
        <w:tc>
          <w:tcPr>
            <w:tcW w:w="5040" w:type="dxa"/>
            <w:tcMar>
              <w:top w:w="60" w:type="dxa"/>
              <w:left w:w="70" w:type="dxa"/>
              <w:bottom w:w="60" w:type="dxa"/>
              <w:right w:w="70" w:type="dxa"/>
            </w:tcMar>
          </w:tcPr>
          <w:p w14:paraId="62F86F5C" w14:textId="77777777" w:rsidR="00A33BA3" w:rsidRDefault="00000000">
            <w:r>
              <w:rPr>
                <w:sz w:val="15"/>
              </w:rPr>
              <w:t>Run sensitivity analysis on forget-set size or seeds before adding a second dataset.</w:t>
            </w:r>
          </w:p>
        </w:tc>
      </w:tr>
      <w:tr w:rsidR="00A33BA3" w14:paraId="13EA0C4B" w14:textId="77777777" w:rsidTr="3F617AE4">
        <w:trPr>
          <w:jc w:val="center"/>
        </w:trPr>
        <w:tc>
          <w:tcPr>
            <w:tcW w:w="3168" w:type="dxa"/>
            <w:tcMar>
              <w:top w:w="60" w:type="dxa"/>
              <w:left w:w="70" w:type="dxa"/>
              <w:bottom w:w="60" w:type="dxa"/>
              <w:right w:w="70" w:type="dxa"/>
            </w:tcMar>
          </w:tcPr>
          <w:p w14:paraId="5A11C1D4" w14:textId="77777777" w:rsidR="00A33BA3" w:rsidRDefault="00000000">
            <w:r>
              <w:rPr>
                <w:sz w:val="15"/>
              </w:rPr>
              <w:t>Scope creep into legal compliance or production tooling.</w:t>
            </w:r>
          </w:p>
        </w:tc>
        <w:tc>
          <w:tcPr>
            <w:tcW w:w="1224" w:type="dxa"/>
            <w:tcMar>
              <w:top w:w="60" w:type="dxa"/>
              <w:left w:w="70" w:type="dxa"/>
              <w:bottom w:w="60" w:type="dxa"/>
              <w:right w:w="70" w:type="dxa"/>
            </w:tcMar>
          </w:tcPr>
          <w:p w14:paraId="7645B81B" w14:textId="77777777" w:rsidR="00A33BA3" w:rsidRDefault="00000000">
            <w:r>
              <w:rPr>
                <w:sz w:val="15"/>
              </w:rPr>
              <w:t>High</w:t>
            </w:r>
          </w:p>
        </w:tc>
        <w:tc>
          <w:tcPr>
            <w:tcW w:w="5040" w:type="dxa"/>
            <w:tcMar>
              <w:top w:w="60" w:type="dxa"/>
              <w:left w:w="70" w:type="dxa"/>
              <w:bottom w:w="60" w:type="dxa"/>
              <w:right w:w="70" w:type="dxa"/>
            </w:tcMar>
          </w:tcPr>
          <w:p w14:paraId="6BB4D8B2" w14:textId="77777777" w:rsidR="00A33BA3" w:rsidRDefault="00000000">
            <w:r>
              <w:rPr>
                <w:sz w:val="15"/>
              </w:rPr>
              <w:t>Keep claims to empirical support for auditable workflows; production integration and legal compliance are explicitly out of scope.</w:t>
            </w:r>
          </w:p>
        </w:tc>
      </w:tr>
    </w:tbl>
    <w:p w14:paraId="14E654D1" w14:textId="77777777" w:rsidR="00A33BA3" w:rsidRDefault="00A33BA3">
      <w:pPr>
        <w:spacing w:after="40"/>
      </w:pPr>
    </w:p>
    <w:p w14:paraId="635098E9" w14:textId="77777777" w:rsidR="00A33BA3" w:rsidRDefault="00000000">
      <w:pPr>
        <w:pStyle w:val="Heading1"/>
      </w:pPr>
      <w:r>
        <w:rPr>
          <w:rFonts w:ascii="Arial" w:eastAsia="Arial" w:hAnsi="Arial"/>
        </w:rPr>
        <w:lastRenderedPageBreak/>
        <w:t>11. Ethical and Legal Positioning</w:t>
      </w:r>
    </w:p>
    <w:p w14:paraId="26070B52" w14:textId="77777777" w:rsidR="00A33BA3" w:rsidRDefault="00000000">
      <w:pPr>
        <w:spacing w:after="110" w:line="250" w:lineRule="auto"/>
      </w:pPr>
      <w:r>
        <w:t>This project will use public, non-sensitive benchmark data and will not involve human participants, live client data, or real deletion requests. The simulated forget set is an experimental device for evaluating algorithms. The project therefore should not require ethics approval for human-subject research, though normal academic integrity, data-use, and software-security practices still apply.</w:t>
      </w:r>
    </w:p>
    <w:p w14:paraId="774A191C" w14:textId="77777777" w:rsidR="00A33BA3" w:rsidRDefault="00000000">
      <w:pPr>
        <w:spacing w:after="110" w:line="250" w:lineRule="auto"/>
      </w:pPr>
      <w:r>
        <w:t xml:space="preserve">The legal framing must be cautious. Article 17 establishes a right to erasure in defined circumstances, but a technical unlearning benchmark cannot by itself establish organisational compliance </w:t>
      </w:r>
      <w:hyperlink w:anchor="ref8" w:history="1">
        <w:r w:rsidR="00A33BA3">
          <w:rPr>
            <w:color w:val="0563C1"/>
            <w:u w:val="single"/>
          </w:rPr>
          <w:t>[8]</w:t>
        </w:r>
      </w:hyperlink>
      <w:r>
        <w:t>. In practice, compliance would also require data governance, audit logs, legal assessment, access controls, model registry discipline, monitoring, and clear operational procedures. The project will therefore use the phrase "supporting auditable erasure workflows" rather than "achieving GDPR compliance".</w:t>
      </w:r>
    </w:p>
    <w:p w14:paraId="70B23C95" w14:textId="77777777" w:rsidR="00A33BA3" w:rsidRDefault="00000000">
      <w:pPr>
        <w:pStyle w:val="Heading1"/>
      </w:pPr>
      <w:r>
        <w:rPr>
          <w:rFonts w:ascii="Arial" w:eastAsia="Arial" w:hAnsi="Arial"/>
        </w:rPr>
        <w:t>12. Expected Contribution</w:t>
      </w:r>
    </w:p>
    <w:p w14:paraId="00CB1240" w14:textId="77777777" w:rsidR="00A33BA3" w:rsidRDefault="00000000">
      <w:pPr>
        <w:spacing w:after="110" w:line="250" w:lineRule="auto"/>
      </w:pPr>
      <w:r>
        <w:t>The academic contribution is a small but rigorous empirical comparison of lightweight unlearning methods against full retraining on a tabular neural-network classifier. The practical contribution is a reproducible artefact that shows ISx4 how unlearning can be evaluated, what evidence can be collected, and where the limits of approximate unlearning remain. The most valuable outcome is not necessarily that approximate unlearning wins in all settings; rather, the value is a defensible evaluation framework for deciding when approximate unlearning is or is not trustworthy enough to consider in an enterprise model-lifecycle process.</w:t>
      </w:r>
    </w:p>
    <w:p w14:paraId="0987C6F1" w14:textId="77777777" w:rsidR="00A33BA3" w:rsidRDefault="00000000">
      <w:pPr>
        <w:pStyle w:val="Heading1"/>
      </w:pPr>
      <w:r>
        <w:rPr>
          <w:rFonts w:ascii="Arial" w:eastAsia="Arial" w:hAnsi="Arial"/>
        </w:rPr>
        <w:t>References</w:t>
      </w:r>
    </w:p>
    <w:p w14:paraId="38E7CD0A" w14:textId="77777777" w:rsidR="00A33BA3" w:rsidRDefault="00000000">
      <w:pPr>
        <w:spacing w:after="60"/>
        <w:ind w:left="403" w:hanging="403"/>
      </w:pPr>
      <w:bookmarkStart w:id="1" w:name="ref1"/>
      <w:r>
        <w:rPr>
          <w:b/>
          <w:sz w:val="17"/>
        </w:rPr>
        <w:t xml:space="preserve">[1] </w:t>
      </w:r>
      <w:bookmarkEnd w:id="1"/>
      <w:r>
        <w:rPr>
          <w:sz w:val="17"/>
        </w:rPr>
        <w:t xml:space="preserve">Y. Cao and J. Yang, "Towards Making Systems Forget with Machine Unlearning," IEEE Symposium on Security and Privacy, 2015. </w:t>
      </w:r>
      <w:hyperlink r:id="rId8">
        <w:r w:rsidR="00A33BA3">
          <w:rPr>
            <w:color w:val="0563C1"/>
            <w:sz w:val="17"/>
            <w:u w:val="single"/>
          </w:rPr>
          <w:t>Source</w:t>
        </w:r>
      </w:hyperlink>
    </w:p>
    <w:p w14:paraId="2FB1D489" w14:textId="77777777" w:rsidR="00A33BA3" w:rsidRDefault="00000000">
      <w:pPr>
        <w:spacing w:after="60"/>
        <w:ind w:left="403" w:hanging="403"/>
      </w:pPr>
      <w:bookmarkStart w:id="2" w:name="ref2"/>
      <w:r>
        <w:rPr>
          <w:b/>
          <w:sz w:val="17"/>
        </w:rPr>
        <w:t xml:space="preserve">[2] </w:t>
      </w:r>
      <w:bookmarkEnd w:id="2"/>
      <w:r>
        <w:rPr>
          <w:sz w:val="17"/>
        </w:rPr>
        <w:t xml:space="preserve">A. Ginart, M. Y. Guan, G. Valiant, and J. Zou, "Making AI Forget You: Data Deletion in Machine Learning," NeurIPS, 2019. </w:t>
      </w:r>
      <w:hyperlink r:id="rId9">
        <w:r w:rsidR="00A33BA3">
          <w:rPr>
            <w:color w:val="0563C1"/>
            <w:sz w:val="17"/>
            <w:u w:val="single"/>
          </w:rPr>
          <w:t>Source</w:t>
        </w:r>
      </w:hyperlink>
    </w:p>
    <w:p w14:paraId="54334A1C" w14:textId="77777777" w:rsidR="00A33BA3" w:rsidRDefault="00000000">
      <w:pPr>
        <w:spacing w:after="60"/>
        <w:ind w:left="403" w:hanging="403"/>
      </w:pPr>
      <w:bookmarkStart w:id="3" w:name="ref3"/>
      <w:r>
        <w:rPr>
          <w:b/>
          <w:sz w:val="17"/>
        </w:rPr>
        <w:t xml:space="preserve">[3] </w:t>
      </w:r>
      <w:bookmarkEnd w:id="3"/>
      <w:r>
        <w:rPr>
          <w:sz w:val="17"/>
        </w:rPr>
        <w:t xml:space="preserve">L. Bourtoule et al., "Machine Unlearning," IEEE Symposium on Security and Privacy, 2021. </w:t>
      </w:r>
      <w:hyperlink r:id="rId10">
        <w:r w:rsidR="00A33BA3">
          <w:rPr>
            <w:color w:val="0563C1"/>
            <w:sz w:val="17"/>
            <w:u w:val="single"/>
          </w:rPr>
          <w:t>Source</w:t>
        </w:r>
      </w:hyperlink>
    </w:p>
    <w:p w14:paraId="4EAEF2CE" w14:textId="77777777" w:rsidR="00A33BA3" w:rsidRDefault="00000000">
      <w:pPr>
        <w:spacing w:after="60"/>
        <w:ind w:left="403" w:hanging="403"/>
      </w:pPr>
      <w:bookmarkStart w:id="4" w:name="ref4"/>
      <w:r>
        <w:rPr>
          <w:b/>
          <w:sz w:val="17"/>
        </w:rPr>
        <w:t xml:space="preserve">[4] </w:t>
      </w:r>
      <w:bookmarkEnd w:id="4"/>
      <w:r>
        <w:rPr>
          <w:sz w:val="17"/>
        </w:rPr>
        <w:t xml:space="preserve">A. Golatkar, A. Achille, and S. Soatto, "Eternal Sunshine of the Spotless Net: Selective Forgetting in Deep Networks," CVPR, 2020. </w:t>
      </w:r>
      <w:hyperlink r:id="rId11">
        <w:r w:rsidR="00A33BA3">
          <w:rPr>
            <w:color w:val="0563C1"/>
            <w:sz w:val="17"/>
            <w:u w:val="single"/>
          </w:rPr>
          <w:t>Source</w:t>
        </w:r>
      </w:hyperlink>
    </w:p>
    <w:p w14:paraId="28A5B27D" w14:textId="77777777" w:rsidR="00A33BA3" w:rsidRDefault="00000000">
      <w:pPr>
        <w:spacing w:after="60"/>
        <w:ind w:left="403" w:hanging="403"/>
      </w:pPr>
      <w:bookmarkStart w:id="5" w:name="ref5"/>
      <w:r>
        <w:rPr>
          <w:b/>
          <w:sz w:val="17"/>
        </w:rPr>
        <w:t xml:space="preserve">[5] </w:t>
      </w:r>
      <w:bookmarkEnd w:id="5"/>
      <w:r>
        <w:rPr>
          <w:sz w:val="17"/>
        </w:rPr>
        <w:t xml:space="preserve">R. Shokri, M. Stronati, C. Song, and V. Shmatikov, "Membership Inference Attacks Against Machine Learning Models," IEEE Symposium on Security and Privacy, 2017. </w:t>
      </w:r>
      <w:hyperlink r:id="rId12">
        <w:r w:rsidR="00A33BA3">
          <w:rPr>
            <w:color w:val="0563C1"/>
            <w:sz w:val="17"/>
            <w:u w:val="single"/>
          </w:rPr>
          <w:t>Source</w:t>
        </w:r>
      </w:hyperlink>
    </w:p>
    <w:p w14:paraId="77BD1D3B" w14:textId="77777777" w:rsidR="00A33BA3" w:rsidRDefault="00000000">
      <w:pPr>
        <w:spacing w:after="60"/>
        <w:ind w:left="403" w:hanging="403"/>
      </w:pPr>
      <w:bookmarkStart w:id="6" w:name="ref6"/>
      <w:r>
        <w:rPr>
          <w:b/>
          <w:sz w:val="17"/>
        </w:rPr>
        <w:t xml:space="preserve">[6] </w:t>
      </w:r>
      <w:bookmarkEnd w:id="6"/>
      <w:r>
        <w:rPr>
          <w:sz w:val="17"/>
        </w:rPr>
        <w:t xml:space="preserve">N. Carlini, S. Chien, M. Nasr, S. Song, A. Terzis, and F. Tramer, "Membership Inference Attacks </w:t>
      </w:r>
      <w:proofErr w:type="gramStart"/>
      <w:r>
        <w:rPr>
          <w:sz w:val="17"/>
        </w:rPr>
        <w:t>From</w:t>
      </w:r>
      <w:proofErr w:type="gramEnd"/>
      <w:r>
        <w:rPr>
          <w:sz w:val="17"/>
        </w:rPr>
        <w:t xml:space="preserve"> First Principles," IEEE Symposium on Security and Privacy, 2022. </w:t>
      </w:r>
      <w:hyperlink r:id="rId13">
        <w:r w:rsidR="00A33BA3">
          <w:rPr>
            <w:color w:val="0563C1"/>
            <w:sz w:val="17"/>
            <w:u w:val="single"/>
          </w:rPr>
          <w:t>Source</w:t>
        </w:r>
      </w:hyperlink>
    </w:p>
    <w:p w14:paraId="2D1746A3" w14:textId="77777777" w:rsidR="00A33BA3" w:rsidRDefault="00000000">
      <w:pPr>
        <w:spacing w:after="60"/>
        <w:ind w:left="403" w:hanging="403"/>
      </w:pPr>
      <w:bookmarkStart w:id="7" w:name="ref7"/>
      <w:r>
        <w:rPr>
          <w:b/>
          <w:sz w:val="17"/>
        </w:rPr>
        <w:t xml:space="preserve">[7] </w:t>
      </w:r>
      <w:bookmarkEnd w:id="7"/>
      <w:r>
        <w:rPr>
          <w:sz w:val="17"/>
        </w:rPr>
        <w:t xml:space="preserve">X. F. Cadet, A. Borovykh, M. Malekzadeh, S. Ahmadi-Abhari, and H. Haddadi, "Deep Unlearn: Benchmarking Machine Unlearning," 2024. </w:t>
      </w:r>
      <w:hyperlink r:id="rId14">
        <w:r w:rsidR="00A33BA3">
          <w:rPr>
            <w:color w:val="0563C1"/>
            <w:sz w:val="17"/>
            <w:u w:val="single"/>
          </w:rPr>
          <w:t>Source</w:t>
        </w:r>
      </w:hyperlink>
    </w:p>
    <w:p w14:paraId="70FDABC3" w14:textId="77777777" w:rsidR="00A33BA3" w:rsidRDefault="00000000">
      <w:pPr>
        <w:spacing w:after="60"/>
        <w:ind w:left="403" w:hanging="403"/>
      </w:pPr>
      <w:bookmarkStart w:id="8" w:name="ref8"/>
      <w:r>
        <w:rPr>
          <w:b/>
          <w:sz w:val="17"/>
        </w:rPr>
        <w:t xml:space="preserve">[8] </w:t>
      </w:r>
      <w:bookmarkEnd w:id="8"/>
      <w:r>
        <w:rPr>
          <w:sz w:val="17"/>
        </w:rPr>
        <w:t xml:space="preserve">European Parliament and Council of the European Union, Regulation (EU) 2016/679, General Data Protection Regulation, Article 17: Right to erasure, 2016. </w:t>
      </w:r>
      <w:hyperlink r:id="rId15">
        <w:r w:rsidR="00A33BA3">
          <w:rPr>
            <w:color w:val="0563C1"/>
            <w:sz w:val="17"/>
            <w:u w:val="single"/>
          </w:rPr>
          <w:t>Source</w:t>
        </w:r>
      </w:hyperlink>
    </w:p>
    <w:p w14:paraId="4EB33BCB" w14:textId="77777777" w:rsidR="00A33BA3" w:rsidRDefault="00000000">
      <w:pPr>
        <w:spacing w:after="60"/>
        <w:ind w:left="403" w:hanging="403"/>
      </w:pPr>
      <w:bookmarkStart w:id="9" w:name="ref9"/>
      <w:r>
        <w:rPr>
          <w:b/>
          <w:sz w:val="17"/>
        </w:rPr>
        <w:t xml:space="preserve">[9] </w:t>
      </w:r>
      <w:bookmarkEnd w:id="9"/>
      <w:r>
        <w:rPr>
          <w:sz w:val="17"/>
        </w:rPr>
        <w:t xml:space="preserve">UK Information Commissioner's Office, "Guidance on AI and data protection," ICO, current online guidance. </w:t>
      </w:r>
      <w:hyperlink r:id="rId16">
        <w:r w:rsidR="00A33BA3">
          <w:rPr>
            <w:color w:val="0563C1"/>
            <w:sz w:val="17"/>
            <w:u w:val="single"/>
          </w:rPr>
          <w:t>Source</w:t>
        </w:r>
      </w:hyperlink>
    </w:p>
    <w:p w14:paraId="4D09C06C" w14:textId="77777777" w:rsidR="00A33BA3" w:rsidRDefault="00000000">
      <w:pPr>
        <w:spacing w:after="60"/>
        <w:ind w:left="403" w:hanging="403"/>
      </w:pPr>
      <w:bookmarkStart w:id="10" w:name="ref10"/>
      <w:r>
        <w:rPr>
          <w:b/>
          <w:sz w:val="17"/>
        </w:rPr>
        <w:t xml:space="preserve">[10] </w:t>
      </w:r>
      <w:bookmarkEnd w:id="10"/>
      <w:r>
        <w:rPr>
          <w:sz w:val="17"/>
        </w:rPr>
        <w:t xml:space="preserve">B. Becker and R. Kohavi, "Adult," UCI Machine Learning Repository, 1996. </w:t>
      </w:r>
      <w:hyperlink r:id="rId17">
        <w:r w:rsidR="00A33BA3">
          <w:rPr>
            <w:color w:val="0563C1"/>
            <w:sz w:val="17"/>
            <w:u w:val="single"/>
          </w:rPr>
          <w:t>Source</w:t>
        </w:r>
      </w:hyperlink>
    </w:p>
    <w:p w14:paraId="0A27DBBC" w14:textId="77777777" w:rsidR="00A33BA3" w:rsidRDefault="00000000">
      <w:pPr>
        <w:spacing w:after="60"/>
        <w:ind w:left="403" w:hanging="403"/>
      </w:pPr>
      <w:bookmarkStart w:id="11" w:name="ref11"/>
      <w:r>
        <w:rPr>
          <w:b/>
          <w:sz w:val="17"/>
        </w:rPr>
        <w:t xml:space="preserve">[11] </w:t>
      </w:r>
      <w:bookmarkEnd w:id="11"/>
      <w:r>
        <w:rPr>
          <w:sz w:val="17"/>
        </w:rPr>
        <w:t xml:space="preserve">C. A. Choquette-Choo, F. Tramer, N. Carlini, and N. Papernot, "Label-Only Membership Inference Attacks," ICML, 2021. </w:t>
      </w:r>
      <w:hyperlink r:id="rId18">
        <w:r w:rsidR="00A33BA3">
          <w:rPr>
            <w:color w:val="0563C1"/>
            <w:sz w:val="17"/>
            <w:u w:val="single"/>
          </w:rPr>
          <w:t>Source</w:t>
        </w:r>
      </w:hyperlink>
    </w:p>
    <w:sectPr w:rsidR="00A33BA3" w:rsidSect="00034616">
      <w:headerReference w:type="default" r:id="rId19"/>
      <w:footerReference w:type="default" r:id="rId20"/>
      <w:pgSz w:w="12240" w:h="15840"/>
      <w:pgMar w:top="1094" w:right="1037" w:bottom="936" w:left="1037"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63565" w14:textId="77777777" w:rsidR="0053714A" w:rsidRDefault="0053714A">
      <w:pPr>
        <w:spacing w:after="0" w:line="240" w:lineRule="auto"/>
      </w:pPr>
      <w:r>
        <w:separator/>
      </w:r>
    </w:p>
  </w:endnote>
  <w:endnote w:type="continuationSeparator" w:id="0">
    <w:p w14:paraId="235EE8F5" w14:textId="77777777" w:rsidR="0053714A" w:rsidRDefault="00537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C007" w14:textId="77777777" w:rsidR="00A33BA3" w:rsidRDefault="00000000">
    <w:pPr>
      <w:pStyle w:val="Footer"/>
      <w:jc w:val="center"/>
    </w:pPr>
    <w:r>
      <w:rPr>
        <w:color w:val="5F5F5F"/>
        <w:sz w:val="16"/>
      </w:rPr>
      <w:t>ISx4 AI &amp; Analytics | Scoped 12-week MSc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14C80" w14:textId="77777777" w:rsidR="0053714A" w:rsidRDefault="0053714A">
      <w:pPr>
        <w:spacing w:after="0" w:line="240" w:lineRule="auto"/>
      </w:pPr>
      <w:r>
        <w:separator/>
      </w:r>
    </w:p>
  </w:footnote>
  <w:footnote w:type="continuationSeparator" w:id="0">
    <w:p w14:paraId="7D113940" w14:textId="77777777" w:rsidR="0053714A" w:rsidRDefault="00537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5F28" w14:textId="77777777" w:rsidR="00A33BA3" w:rsidRDefault="00A33BA3">
    <w:pPr>
      <w:pStyle w:val="Header"/>
    </w:pPr>
  </w:p>
  <w:tbl>
    <w:tblPr>
      <w:tblW w:w="0" w:type="auto"/>
      <w:jc w:val="center"/>
      <w:tblLayout w:type="fixed"/>
      <w:tblLook w:val="04A0" w:firstRow="1" w:lastRow="0" w:firstColumn="1" w:lastColumn="0" w:noHBand="0" w:noVBand="1"/>
    </w:tblPr>
    <w:tblGrid>
      <w:gridCol w:w="5040"/>
      <w:gridCol w:w="5040"/>
    </w:tblGrid>
    <w:tr w:rsidR="00A33BA3" w14:paraId="1574ED63" w14:textId="77777777">
      <w:trPr>
        <w:jc w:val="center"/>
      </w:trPr>
      <w:tc>
        <w:tcPr>
          <w:tcW w:w="5040" w:type="dxa"/>
          <w:tcMar>
            <w:top w:w="0" w:type="dxa"/>
            <w:left w:w="0" w:type="dxa"/>
            <w:bottom w:w="0" w:type="dxa"/>
            <w:right w:w="0" w:type="dxa"/>
          </w:tcMar>
          <w:vAlign w:val="center"/>
        </w:tcPr>
        <w:p w14:paraId="234E7419" w14:textId="77777777" w:rsidR="00A33BA3" w:rsidRDefault="00000000">
          <w:pPr>
            <w:spacing w:after="0"/>
          </w:pPr>
          <w:r>
            <w:rPr>
              <w:noProof/>
            </w:rPr>
            <w:drawing>
              <wp:inline distT="0" distB="0" distL="0" distR="0" wp14:anchorId="1644E5D3" wp14:editId="6C319C74">
                <wp:extent cx="1143000" cy="380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143000" cy="380628"/>
                        </a:xfrm>
                        <a:prstGeom prst="rect">
                          <a:avLst/>
                        </a:prstGeom>
                      </pic:spPr>
                    </pic:pic>
                  </a:graphicData>
                </a:graphic>
              </wp:inline>
            </w:drawing>
          </w:r>
        </w:p>
      </w:tc>
      <w:tc>
        <w:tcPr>
          <w:tcW w:w="5040" w:type="dxa"/>
          <w:tcMar>
            <w:top w:w="0" w:type="dxa"/>
            <w:left w:w="0" w:type="dxa"/>
            <w:bottom w:w="0" w:type="dxa"/>
            <w:right w:w="0" w:type="dxa"/>
          </w:tcMar>
          <w:vAlign w:val="center"/>
        </w:tcPr>
        <w:p w14:paraId="13C8B282" w14:textId="77777777" w:rsidR="00A33BA3" w:rsidRDefault="00000000">
          <w:pPr>
            <w:spacing w:after="0"/>
            <w:jc w:val="right"/>
          </w:pPr>
          <w:r>
            <w:rPr>
              <w:color w:val="5F5F5F"/>
              <w:sz w:val="16"/>
            </w:rPr>
            <w:t>MSc AI Project Proposal | ECS8056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9762860">
    <w:abstractNumId w:val="8"/>
  </w:num>
  <w:num w:numId="2" w16cid:durableId="987979590">
    <w:abstractNumId w:val="6"/>
  </w:num>
  <w:num w:numId="3" w16cid:durableId="1696342010">
    <w:abstractNumId w:val="5"/>
  </w:num>
  <w:num w:numId="4" w16cid:durableId="22749633">
    <w:abstractNumId w:val="4"/>
  </w:num>
  <w:num w:numId="5" w16cid:durableId="1448550017">
    <w:abstractNumId w:val="7"/>
  </w:num>
  <w:num w:numId="6" w16cid:durableId="1793402328">
    <w:abstractNumId w:val="3"/>
  </w:num>
  <w:num w:numId="7" w16cid:durableId="267853200">
    <w:abstractNumId w:val="2"/>
  </w:num>
  <w:num w:numId="8" w16cid:durableId="223031469">
    <w:abstractNumId w:val="1"/>
  </w:num>
  <w:num w:numId="9" w16cid:durableId="191169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9BD"/>
    <w:rsid w:val="00225A0C"/>
    <w:rsid w:val="00245DDD"/>
    <w:rsid w:val="0029639D"/>
    <w:rsid w:val="00326F90"/>
    <w:rsid w:val="00496A5E"/>
    <w:rsid w:val="0053714A"/>
    <w:rsid w:val="009F250E"/>
    <w:rsid w:val="00A33BA3"/>
    <w:rsid w:val="00AA1D8D"/>
    <w:rsid w:val="00B47730"/>
    <w:rsid w:val="00B85B40"/>
    <w:rsid w:val="00BB511A"/>
    <w:rsid w:val="00BD6F96"/>
    <w:rsid w:val="00C01C46"/>
    <w:rsid w:val="00C528ED"/>
    <w:rsid w:val="00CB0664"/>
    <w:rsid w:val="00CD2F85"/>
    <w:rsid w:val="00D33E97"/>
    <w:rsid w:val="00DC23CE"/>
    <w:rsid w:val="00F601C4"/>
    <w:rsid w:val="00F64DBB"/>
    <w:rsid w:val="00FA562B"/>
    <w:rsid w:val="00FC693F"/>
    <w:rsid w:val="3F617AE4"/>
    <w:rsid w:val="589F6496"/>
    <w:rsid w:val="74356D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AADD3"/>
  <w14:defaultImageDpi w14:val="300"/>
  <w15:docId w15:val="{54EC328F-366A-E244-AB62-0A0D6AB4C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5E3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4B3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4B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eastAsia="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eastAsia="Arial" w:hAnsi="Arial"/>
    </w:rPr>
  </w:style>
  <w:style w:type="paragraph" w:styleId="NoSpacing">
    <w:name w:val="No Spacing"/>
    <w:uiPriority w:val="1"/>
    <w:qFormat/>
    <w:rsid w:val="00FC693F"/>
    <w:pPr>
      <w:spacing w:after="0" w:line="240" w:lineRule="auto"/>
    </w:pPr>
    <w:rPr>
      <w:rFonts w:ascii="Arial" w:eastAsia="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eastAsia="Arial" w:hAnsi="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eastAsia="Arial" w:hAnsi="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sz w:val="20"/>
      <w:szCs w:val="20"/>
    </w:rPr>
  </w:style>
  <w:style w:type="character" w:customStyle="1" w:styleId="MacroTextChar">
    <w:name w:val="Macro Text Char"/>
    <w:basedOn w:val="DefaultParagraphFont"/>
    <w:link w:val="MacroText"/>
    <w:uiPriority w:val="99"/>
    <w:rsid w:val="0029639D"/>
    <w:rPr>
      <w:rFonts w:ascii="Arial" w:eastAsia="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Arial" w:eastAsia="Arial" w:hAnsi="Arial"/>
      <w:b/>
      <w:bCs/>
    </w:rPr>
  </w:style>
  <w:style w:type="character" w:styleId="Emphasis">
    <w:name w:val="Emphasis"/>
    <w:basedOn w:val="DefaultParagraphFont"/>
    <w:uiPriority w:val="20"/>
    <w:qFormat/>
    <w:rsid w:val="00FC693F"/>
    <w:rPr>
      <w:rFonts w:ascii="Arial" w:eastAsia="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b/>
      <w:bCs/>
      <w:i/>
      <w:iCs/>
      <w:color w:val="4F81BD" w:themeColor="accent1"/>
    </w:rPr>
  </w:style>
  <w:style w:type="character" w:styleId="SubtleEmphasis">
    <w:name w:val="Subtle Emphasis"/>
    <w:basedOn w:val="DefaultParagraphFont"/>
    <w:uiPriority w:val="19"/>
    <w:qFormat/>
    <w:rsid w:val="00FC693F"/>
    <w:rPr>
      <w:rFonts w:ascii="Arial" w:eastAsia="Arial" w:hAnsi="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b/>
      <w:bCs/>
      <w:i/>
      <w:iCs/>
      <w:color w:val="4F81BD" w:themeColor="accent1"/>
    </w:rPr>
  </w:style>
  <w:style w:type="character" w:styleId="SubtleReference">
    <w:name w:val="Subtle Reference"/>
    <w:basedOn w:val="DefaultParagraphFont"/>
    <w:uiPriority w:val="31"/>
    <w:qFormat/>
    <w:rsid w:val="00FC693F"/>
    <w:rPr>
      <w:rFonts w:ascii="Arial" w:eastAsia="Arial" w:hAnsi="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eastAsia="Arial" w:hAnsi="Arial"/>
    </w:rPr>
  </w:style>
  <w:style w:type="table" w:styleId="TableGrid">
    <w:name w:val="Table Grid"/>
    <w:basedOn w:val="TableNormal"/>
    <w:uiPriority w:val="59"/>
    <w:rsid w:val="00FC693F"/>
    <w:pPr>
      <w:spacing w:after="0" w:line="240" w:lineRule="auto"/>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eastAsia="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eastAsia="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eastAsia="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eastAsia="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eastAsia="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eastAsia="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eastAsia="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eastAsia="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eastAsia="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eastAsia="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eastAsia="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eastAsia="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eastAsia="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eastAsia="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eastAsia="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eastAsia="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eastAsia="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eastAsia="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eastAsia="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eastAsia="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eastAsia="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eastAsia="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eastAsia="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eastAsia="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eastAsia="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eastAsia="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eastAsia="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eastAsia="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eastAsia="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eastAsia="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rFonts w:ascii="Arial" w:eastAsia="Arial" w:hAnsi="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ascii="Arial" w:eastAsia="Arial" w:hAnsi="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ascii="Arial" w:eastAsia="Arial" w:hAnsi="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7163042" TargetMode="External"/><Relationship Id="rId13" Type="http://schemas.openxmlformats.org/officeDocument/2006/relationships/hyperlink" Target="https://arxiv.org/abs/2112.03570" TargetMode="External"/><Relationship Id="rId18" Type="http://schemas.openxmlformats.org/officeDocument/2006/relationships/hyperlink" Target="https://arxiv.org/abs/2007.1432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rxiv.org/abs/1610.05820" TargetMode="External"/><Relationship Id="rId17" Type="http://schemas.openxmlformats.org/officeDocument/2006/relationships/hyperlink" Target="https://archive.ics.uci.edu/dataset/2/adult" TargetMode="External"/><Relationship Id="rId2" Type="http://schemas.openxmlformats.org/officeDocument/2006/relationships/numbering" Target="numbering.xml"/><Relationship Id="rId16" Type="http://schemas.openxmlformats.org/officeDocument/2006/relationships/hyperlink" Target="https://ico.org.uk/for-organisations/uk-gdpr-guidance-and-resources/artificial-intelligence/guidance-on-ai-and-data-protec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911.04933" TargetMode="External"/><Relationship Id="rId5" Type="http://schemas.openxmlformats.org/officeDocument/2006/relationships/webSettings" Target="webSettings.xml"/><Relationship Id="rId15" Type="http://schemas.openxmlformats.org/officeDocument/2006/relationships/hyperlink" Target="https://eur-lex.europa.eu/eli/reg/2016/679/oj" TargetMode="External"/><Relationship Id="rId10" Type="http://schemas.openxmlformats.org/officeDocument/2006/relationships/hyperlink" Target="https://arxiv.org/abs/1912.03817"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rxiv.org/abs/1907.05012" TargetMode="External"/><Relationship Id="rId14" Type="http://schemas.openxmlformats.org/officeDocument/2006/relationships/hyperlink" Target="https://arxiv.org/abs/2410.01276"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3092</Words>
  <Characters>17627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Adebayo</dc:creator>
  <cp:keywords/>
  <dc:description/>
  <cp:lastModifiedBy>Niamh Hughes</cp:lastModifiedBy>
  <cp:revision>1</cp:revision>
  <dcterms:created xsi:type="dcterms:W3CDTF">2026-06-02T10:09:00Z</dcterms:created>
  <dcterms:modified xsi:type="dcterms:W3CDTF">2026-06-18T09:55:00Z</dcterms:modified>
  <cp:category/>
</cp:coreProperties>
</file>