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ca-srr-001-software-release-record"/>
    <w:p>
      <w:pPr>
        <w:pStyle w:val="Heading1"/>
      </w:pPr>
      <w:r>
        <w:t xml:space="preserve">CA-SRR-001 — Software Release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CA-SRR-001</w:t>
            </w:r>
          </w:p>
        </w:tc>
      </w:tr>
      <w:tr>
        <w:tc>
          <w:tcPr/>
          <w:p>
            <w:pPr>
              <w:pStyle w:val="Compact"/>
            </w:pPr>
            <w:r>
              <w:t xml:space="preserve">Title</w:t>
            </w:r>
          </w:p>
        </w:tc>
        <w:tc>
          <w:tcPr/>
          <w:p>
            <w:pPr>
              <w:pStyle w:val="Compact"/>
            </w:pPr>
            <w:r>
              <w:t xml:space="preserve">Software Release Record</w:t>
            </w:r>
          </w:p>
        </w:tc>
      </w:tr>
      <w:tr>
        <w:tc>
          <w:tcPr/>
          <w:p>
            <w:pPr>
              <w:pStyle w:val="Compact"/>
            </w:pPr>
            <w:r>
              <w:t xml:space="preserve">Project</w:t>
            </w:r>
          </w:p>
        </w:tc>
        <w:tc>
          <w:tcPr/>
          <w:p>
            <w:pPr>
              <w:pStyle w:val="Compact"/>
            </w:pPr>
            <w:r>
              <w:t xml:space="preserve">CogAssess</w:t>
            </w:r>
          </w:p>
        </w:tc>
      </w:tr>
      <w:tr>
        <w:tc>
          <w:tcPr/>
          <w:p>
            <w:pPr>
              <w:pStyle w:val="Compact"/>
            </w:pPr>
            <w:r>
              <w:t xml:space="preserve">Version</w:t>
            </w:r>
          </w:p>
        </w:tc>
        <w:tc>
          <w:tcPr/>
          <w:p>
            <w:pPr>
              <w:pStyle w:val="Compact"/>
            </w:pPr>
            <w:r>
              <w:t xml:space="preserve">0.5.0-beta</w:t>
            </w:r>
          </w:p>
        </w:tc>
      </w:tr>
      <w:tr>
        <w:tc>
          <w:tcPr/>
          <w:p>
            <w:pPr>
              <w:pStyle w:val="Compact"/>
            </w:pPr>
            <w:r>
              <w:t xml:space="preserve">Release Date</w:t>
            </w:r>
          </w:p>
        </w:tc>
        <w:tc>
          <w:tcPr/>
          <w:p>
            <w:pPr>
              <w:pStyle w:val="Compact"/>
            </w:pPr>
            <w:r>
              <w:t xml:space="preserve">2026-06-05</w:t>
            </w:r>
          </w:p>
        </w:tc>
      </w:tr>
      <w:tr>
        <w:tc>
          <w:tcPr/>
          <w:p>
            <w:pPr>
              <w:pStyle w:val="Compact"/>
            </w:pPr>
            <w:r>
              <w:t xml:space="preserve">Author</w:t>
            </w:r>
          </w:p>
        </w:tc>
        <w:tc>
          <w:tcPr/>
          <w:p>
            <w:pPr>
              <w:pStyle w:val="Compact"/>
            </w:pPr>
            <w:r>
              <w:t xml:space="preserve">Niamh St John Lynch</w:t>
            </w:r>
          </w:p>
        </w:tc>
      </w:tr>
      <w:tr>
        <w:tc>
          <w:tcPr/>
          <w:p>
            <w:pPr>
              <w:pStyle w:val="Compact"/>
            </w:pPr>
            <w:r>
              <w:t xml:space="preserve">Organisation</w:t>
            </w:r>
          </w:p>
        </w:tc>
        <w:tc>
          <w:tcPr/>
          <w:p>
            <w:pPr>
              <w:pStyle w:val="Compact"/>
            </w:pPr>
            <w:r>
              <w:t xml:space="preserve">MemoryTell Ltd / St John Lynch &amp; Co. Ltd</w:t>
            </w:r>
          </w:p>
        </w:tc>
      </w:tr>
      <w:tr>
        <w:tc>
          <w:tcPr/>
          <w:p>
            <w:pPr>
              <w:pStyle w:val="Compact"/>
            </w:pPr>
            <w:r>
              <w:t xml:space="preserve">IEC 62304 Class</w:t>
            </w:r>
          </w:p>
        </w:tc>
        <w:tc>
          <w:tcPr/>
          <w:p>
            <w:pPr>
              <w:pStyle w:val="Compact"/>
            </w:pPr>
            <w:r>
              <w:t xml:space="preserve">Class B</w:t>
            </w:r>
          </w:p>
        </w:tc>
      </w:tr>
      <w:tr>
        <w:tc>
          <w:tcPr/>
          <w:p>
            <w:pPr>
              <w:pStyle w:val="Compact"/>
            </w:pPr>
            <w:r>
              <w:t xml:space="preserve">Status</w:t>
            </w:r>
          </w:p>
        </w:tc>
        <w:tc>
          <w:tcPr/>
          <w:p>
            <w:pPr>
              <w:pStyle w:val="Compact"/>
            </w:pPr>
            <w:r>
              <w:t xml:space="preserve">Pre-release / Research Prototype</w:t>
            </w:r>
          </w:p>
        </w:tc>
      </w:tr>
      <w:tr>
        <w:tc>
          <w:tcPr/>
          <w:p>
            <w:pPr>
              <w:pStyle w:val="Compact"/>
            </w:pPr>
            <w:r>
              <w:t xml:space="preserve">GitHub Repository</w:t>
            </w:r>
          </w:p>
        </w:tc>
        <w:tc>
          <w:tcPr/>
          <w:p>
            <w:pPr>
              <w:pStyle w:val="Compact"/>
            </w:pPr>
            <w:r>
              <w:t xml:space="preserve">niamh888/cogassess</w:t>
            </w:r>
          </w:p>
        </w:tc>
      </w:tr>
    </w:tbl>
    <w:p>
      <w:r>
        <w:pict>
          <v:rect style="width:0;height:1.5pt" o:hralign="center" o:hrstd="t" o:hr="t"/>
        </w:pict>
      </w:r>
    </w:p>
    <w:bookmarkStart w:id="9" w:name="purpose"/>
    <w:p>
      <w:pPr>
        <w:pStyle w:val="Heading2"/>
      </w:pPr>
      <w:r>
        <w:t xml:space="preserve">1. Purpose</w:t>
      </w:r>
    </w:p>
    <w:p>
      <w:pPr>
        <w:pStyle w:val="FirstParagraph"/>
      </w:pPr>
      <w:r>
        <w:t xml:space="preserve">This Software Release Record (SRR) documents the formal release of CogAssess version 0.5.0-beta in accordance with IEC 62304:2006+AMD1:2015 §6.3 (Software release). It captures the release identification, scope, known limitations, SDLC verification status, deployment instructions, and the criteria for the next planned release.</w:t>
      </w:r>
    </w:p>
    <w:p>
      <w:pPr>
        <w:pStyle w:val="BodyText"/>
      </w:pPr>
      <w:r>
        <w:t xml:space="preserve">This document is intended for use by the development team, quality assurance personnel, and any regulatory reviewers assessing conformance of the CogAssess software lifecycle. It should be read in conjunction with the full SDLC documentation suite listed in Section 6.</w:t>
      </w:r>
    </w:p>
    <w:p>
      <w:r>
        <w:pict>
          <v:rect style="width:0;height:1.5pt" o:hralign="center" o:hrstd="t" o:hr="t"/>
        </w:pict>
      </w:r>
    </w:p>
    <w:bookmarkEnd w:id="9"/>
    <w:bookmarkStart w:id="11" w:name="release-identification"/>
    <w:p>
      <w:pPr>
        <w:pStyle w:val="Heading2"/>
      </w:pPr>
      <w:r>
        <w:t xml:space="preserve">2. Release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Software item</w:t>
            </w:r>
          </w:p>
        </w:tc>
        <w:tc>
          <w:tcPr/>
          <w:p>
            <w:pPr>
              <w:pStyle w:val="Compact"/>
            </w:pPr>
            <w:r>
              <w:t xml:space="preserve">CogAssess</w:t>
            </w:r>
          </w:p>
        </w:tc>
      </w:tr>
      <w:tr>
        <w:tc>
          <w:tcPr/>
          <w:p>
            <w:pPr>
              <w:pStyle w:val="Compact"/>
            </w:pPr>
            <w:r>
              <w:t xml:space="preserve">Release version</w:t>
            </w:r>
          </w:p>
        </w:tc>
        <w:tc>
          <w:tcPr/>
          <w:p>
            <w:pPr>
              <w:pStyle w:val="Compact"/>
            </w:pPr>
            <w:r>
              <w:t xml:space="preserve">0.5.0-beta</w:t>
            </w:r>
          </w:p>
        </w:tc>
      </w:tr>
      <w:tr>
        <w:tc>
          <w:tcPr/>
          <w:p>
            <w:pPr>
              <w:pStyle w:val="Compact"/>
            </w:pPr>
            <w:r>
              <w:t xml:space="preserve">Release date</w:t>
            </w:r>
          </w:p>
        </w:tc>
        <w:tc>
          <w:tcPr/>
          <w:p>
            <w:pPr>
              <w:pStyle w:val="Compact"/>
            </w:pPr>
            <w:r>
              <w:t xml:space="preserve">2026-06-05</w:t>
            </w:r>
          </w:p>
        </w:tc>
      </w:tr>
      <w:tr>
        <w:tc>
          <w:tcPr/>
          <w:p>
            <w:pPr>
              <w:pStyle w:val="Compact"/>
            </w:pPr>
            <w:r>
              <w:t xml:space="preserve">Git commit reference</w:t>
            </w:r>
          </w:p>
        </w:tc>
        <w:tc>
          <w:tcPr/>
          <w:p>
            <w:pPr>
              <w:pStyle w:val="Compact"/>
            </w:pPr>
            <w:r>
              <w:t xml:space="preserve">To be filled at release</w:t>
            </w:r>
          </w:p>
        </w:tc>
      </w:tr>
      <w:tr>
        <w:tc>
          <w:tcPr/>
          <w:p>
            <w:pPr>
              <w:pStyle w:val="Compact"/>
            </w:pPr>
            <w:r>
              <w:t xml:space="preserve">Release classification</w:t>
            </w:r>
          </w:p>
        </w:tc>
        <w:tc>
          <w:tcPr/>
          <w:p>
            <w:pPr>
              <w:pStyle w:val="Compact"/>
            </w:pPr>
            <w:r>
              <w:t xml:space="preserve">Pre-release / Research prototype</w:t>
            </w:r>
          </w:p>
        </w:tc>
      </w:tr>
      <w:tr>
        <w:tc>
          <w:tcPr/>
          <w:p>
            <w:pPr>
              <w:pStyle w:val="Compact"/>
            </w:pPr>
            <w:r>
              <w:t xml:space="preserve">IEC 62304 software safety classification</w:t>
            </w:r>
          </w:p>
        </w:tc>
        <w:tc>
          <w:tcPr/>
          <w:p>
            <w:pPr>
              <w:pStyle w:val="Compact"/>
            </w:pPr>
            <w:r>
              <w:t xml:space="preserve">Class B</w:t>
            </w:r>
          </w:p>
        </w:tc>
      </w:tr>
      <w:tr>
        <w:tc>
          <w:tcPr/>
          <w:p>
            <w:pPr>
              <w:pStyle w:val="Compact"/>
            </w:pPr>
            <w:r>
              <w:t xml:space="preserve">Platform</w:t>
            </w:r>
          </w:p>
        </w:tc>
        <w:tc>
          <w:tcPr/>
          <w:p>
            <w:pPr>
              <w:pStyle w:val="Compact"/>
            </w:pPr>
            <w:r>
              <w:t xml:space="preserve">Windows 11 (development); Linux recommended for production</w:t>
            </w:r>
          </w:p>
        </w:tc>
      </w:tr>
      <w:tr>
        <w:tc>
          <w:tcPr/>
          <w:p>
            <w:pPr>
              <w:pStyle w:val="Compact"/>
            </w:pPr>
            <w:r>
              <w:t xml:space="preserve">Runtime</w:t>
            </w:r>
          </w:p>
        </w:tc>
        <w:tc>
          <w:tcPr/>
          <w:p>
            <w:pPr>
              <w:pStyle w:val="Compact"/>
            </w:pPr>
            <w:r>
              <w:t xml:space="preserve">Python 3.11+, Node.js 18+, React 18</w:t>
            </w:r>
          </w:p>
        </w:tc>
      </w:tr>
      <w:tr>
        <w:tc>
          <w:tcPr/>
          <w:p>
            <w:pPr>
              <w:pStyle w:val="Compact"/>
            </w:pPr>
            <w:r>
              <w:t xml:space="preserve">Repository</w:t>
            </w:r>
          </w:p>
        </w:tc>
        <w:tc>
          <w:tcPr/>
          <w:p>
            <w:pPr>
              <w:pStyle w:val="Compact"/>
            </w:pPr>
            <w:r>
              <w:t xml:space="preserve">https://github.com/niamh888/cogassess</w:t>
            </w:r>
          </w:p>
        </w:tc>
      </w:tr>
    </w:tbl>
    <w:bookmarkStart w:id="10" w:name="version-numbering-convention"/>
    <w:p>
      <w:pPr>
        <w:pStyle w:val="Heading3"/>
      </w:pPr>
      <w:r>
        <w:t xml:space="preserve">2.1 Version Numbering Convention</w:t>
      </w:r>
    </w:p>
    <w:p>
      <w:pPr>
        <w:pStyle w:val="FirstParagraph"/>
      </w:pPr>
      <w:r>
        <w:t xml:space="preserve">CogAssess follows Semantic Versioning (SemVer):</w:t>
      </w:r>
      <w:r>
        <w:t xml:space="preserve"> </w:t>
      </w:r>
      <w:r>
        <w:rPr>
          <w:rStyle w:val="VerbatimChar"/>
        </w:rPr>
        <w:t xml:space="preserve">MAJOR.MINOR.PATCH[-prerelease]</w:t>
      </w:r>
      <w:r>
        <w:t xml:space="preserve">. The</w:t>
      </w:r>
      <w:r>
        <w:t xml:space="preserve"> </w:t>
      </w:r>
      <w:r>
        <w:rPr>
          <w:rStyle w:val="VerbatimChar"/>
        </w:rPr>
        <w:t xml:space="preserve">-beta</w:t>
      </w:r>
      <w:r>
        <w:t xml:space="preserve"> </w:t>
      </w:r>
      <w:r>
        <w:t xml:space="preserve">suffix indicates a pre-release build that has not yet completed full clinical validation. This version is suitable for supervised research use only and must not be used for unsupervised clinical decision-making.</w:t>
      </w:r>
    </w:p>
    <w:p>
      <w:r>
        <w:pict>
          <v:rect style="width:0;height:1.5pt" o:hralign="center" o:hrstd="t" o:hr="t"/>
        </w:pict>
      </w:r>
    </w:p>
    <w:bookmarkEnd w:id="10"/>
    <w:bookmarkEnd w:id="11"/>
    <w:bookmarkStart w:id="16" w:name="scope-of-this-release"/>
    <w:p>
      <w:pPr>
        <w:pStyle w:val="Heading2"/>
      </w:pPr>
      <w:r>
        <w:t xml:space="preserve">3. Scope of This Release</w:t>
      </w:r>
    </w:p>
    <w:p>
      <w:pPr>
        <w:pStyle w:val="FirstParagraph"/>
      </w:pPr>
      <w:r>
        <w:t xml:space="preserve">Release 0.5.0-beta constitutes the first formally documented release of CogAssess. It includes the complete five-stage speech analysis pipeline, the clinical workflow interface, and a full IEC 62304 Class B SDLC documentation suite. The following components are included in this release.</w:t>
      </w:r>
    </w:p>
    <w:bookmarkStart w:id="12" w:name="backend-fastapi-python"/>
    <w:p>
      <w:pPr>
        <w:pStyle w:val="Heading3"/>
      </w:pPr>
      <w:r>
        <w:t xml:space="preserve">3.1 Backend (FastAPI / Python)</w:t>
      </w:r>
    </w:p>
    <w:p>
      <w:pPr>
        <w:pStyle w:val="Compact"/>
        <w:numPr>
          <w:ilvl w:val="0"/>
          <w:numId w:val="1001"/>
        </w:numPr>
      </w:pPr>
      <w:r>
        <w:rPr>
          <w:b/>
          <w:bCs/>
        </w:rPr>
        <w:t xml:space="preserve">Five-stage speech analysis pipeline:</w:t>
      </w:r>
    </w:p>
    <w:p>
      <w:pPr>
        <w:pStyle w:val="Compact"/>
        <w:numPr>
          <w:ilvl w:val="1"/>
          <w:numId w:val="1002"/>
        </w:numPr>
      </w:pPr>
      <w:r>
        <w:t xml:space="preserve">Audio ingestion and format conversion via ffmpeg (WAV/MP3/M4A → 16kHz mono WAV)</w:t>
      </w:r>
    </w:p>
    <w:p>
      <w:pPr>
        <w:pStyle w:val="Compact"/>
        <w:numPr>
          <w:ilvl w:val="1"/>
          <w:numId w:val="1002"/>
        </w:numPr>
      </w:pPr>
      <w:r>
        <w:t xml:space="preserve">Automatic Speech Recognition via Google Cloud Speech-to-Text (Chirp model)</w:t>
      </w:r>
    </w:p>
    <w:p>
      <w:pPr>
        <w:pStyle w:val="Compact"/>
        <w:numPr>
          <w:ilvl w:val="1"/>
          <w:numId w:val="1002"/>
        </w:numPr>
      </w:pPr>
      <w:r>
        <w:t xml:space="preserve">Acoustic feature analysis via librosa (pitch, jitter, shimmer, MFCCs, speech rate, pause patterns)</w:t>
      </w:r>
    </w:p>
    <w:p>
      <w:pPr>
        <w:pStyle w:val="Compact"/>
        <w:numPr>
          <w:ilvl w:val="1"/>
          <w:numId w:val="1002"/>
        </w:numPr>
      </w:pPr>
      <w:r>
        <w:t xml:space="preserve">Linguistic analysis via spaCy (lexical diversity, syntactic complexity, named entity count, clause density)</w:t>
      </w:r>
    </w:p>
    <w:p>
      <w:pPr>
        <w:pStyle w:val="Compact"/>
        <w:numPr>
          <w:ilvl w:val="1"/>
          <w:numId w:val="1002"/>
        </w:numPr>
      </w:pPr>
      <w:r>
        <w:t xml:space="preserve">Semantic scoring via sentence-transformers (MiniLM cosine similarity) and emotion classification via HuggingFace pipeline (j-hartmann/emotion-english-distilroberta-base)</w:t>
      </w:r>
    </w:p>
    <w:p>
      <w:pPr>
        <w:pStyle w:val="Compact"/>
        <w:numPr>
          <w:ilvl w:val="0"/>
          <w:numId w:val="1001"/>
        </w:numPr>
      </w:pPr>
      <w:r>
        <w:rPr>
          <w:b/>
          <w:bCs/>
        </w:rPr>
        <w:t xml:space="preserve">Eight assessment tasks:</w:t>
      </w:r>
      <w:r>
        <w:t xml:space="preserve"> </w:t>
      </w:r>
      <w:r>
        <w:t xml:space="preserve">picture description, story recall (immediate and delayed), category fluency, letter fluency, prospective memory, digit span, and conversational speech</w:t>
      </w:r>
    </w:p>
    <w:p>
      <w:pPr>
        <w:pStyle w:val="Compact"/>
        <w:numPr>
          <w:ilvl w:val="0"/>
          <w:numId w:val="1001"/>
        </w:numPr>
      </w:pPr>
      <w:r>
        <w:rPr>
          <w:b/>
          <w:bCs/>
        </w:rPr>
        <w:t xml:space="preserve">Eight condition presets:</w:t>
      </w:r>
      <w:r>
        <w:t xml:space="preserve"> </w:t>
      </w:r>
      <w:r>
        <w:t xml:space="preserve">cognitively normal (CN), mild cognitive impairment (MCI), dementia, aphasia, depression, anxiety, ADHD, and traumatic brain injury (TBI)</w:t>
      </w:r>
    </w:p>
    <w:p>
      <w:pPr>
        <w:pStyle w:val="Compact"/>
        <w:numPr>
          <w:ilvl w:val="0"/>
          <w:numId w:val="1001"/>
        </w:numPr>
      </w:pPr>
      <w:r>
        <w:rPr>
          <w:b/>
          <w:bCs/>
        </w:rPr>
        <w:t xml:space="preserve">Clinical findings workflow:</w:t>
      </w:r>
      <w:r>
        <w:t xml:space="preserve"> </w:t>
      </w:r>
      <w:r>
        <w:t xml:space="preserve">assessors can record clinical observations per session, with</w:t>
      </w:r>
      <w:r>
        <w:t xml:space="preserve"> </w:t>
      </w:r>
      <w:r>
        <w:rPr>
          <w:rStyle w:val="VerbatimChar"/>
        </w:rPr>
        <w:t xml:space="preserve">findings_recorded_at</w:t>
      </w:r>
      <w:r>
        <w:t xml:space="preserve"> </w:t>
      </w:r>
      <w:r>
        <w:t xml:space="preserve">timestamp</w:t>
      </w:r>
    </w:p>
    <w:p>
      <w:pPr>
        <w:pStyle w:val="Compact"/>
        <w:numPr>
          <w:ilvl w:val="0"/>
          <w:numId w:val="1001"/>
        </w:numPr>
      </w:pPr>
      <w:r>
        <w:rPr>
          <w:b/>
          <w:bCs/>
        </w:rPr>
        <w:t xml:space="preserve">Patient summary endpoint:</w:t>
      </w:r>
      <w:r>
        <w:t xml:space="preserve"> </w:t>
      </w:r>
      <w:r>
        <w:t xml:space="preserve">aggregated scores across sessions per patient</w:t>
      </w:r>
    </w:p>
    <w:p>
      <w:pPr>
        <w:pStyle w:val="Compact"/>
        <w:numPr>
          <w:ilvl w:val="0"/>
          <w:numId w:val="1001"/>
        </w:numPr>
      </w:pPr>
      <w:r>
        <w:rPr>
          <w:b/>
          <w:bCs/>
        </w:rPr>
        <w:t xml:space="preserve">JWT authentication:</w:t>
      </w:r>
      <w:r>
        <w:t xml:space="preserve"> </w:t>
      </w:r>
      <w:r>
        <w:t xml:space="preserve">HS256 tokens with 8-hour expiry, bcrypt password hashing via passlib</w:t>
      </w:r>
    </w:p>
    <w:bookmarkEnd w:id="12"/>
    <w:bookmarkStart w:id="13" w:name="frontend-react-18-spa"/>
    <w:p>
      <w:pPr>
        <w:pStyle w:val="Heading3"/>
      </w:pPr>
      <w:r>
        <w:t xml:space="preserve">3.2 Frontend (React 18 SPA)</w:t>
      </w:r>
    </w:p>
    <w:p>
      <w:pPr>
        <w:pStyle w:val="Compact"/>
        <w:numPr>
          <w:ilvl w:val="0"/>
          <w:numId w:val="1003"/>
        </w:numPr>
      </w:pPr>
      <w:r>
        <w:t xml:space="preserve">Session creation and management UI</w:t>
      </w:r>
    </w:p>
    <w:p>
      <w:pPr>
        <w:pStyle w:val="Compact"/>
        <w:numPr>
          <w:ilvl w:val="0"/>
          <w:numId w:val="1003"/>
        </w:numPr>
      </w:pPr>
      <w:r>
        <w:t xml:space="preserve">Real-time audio recording with MediaRecorder API (WAV export)</w:t>
      </w:r>
    </w:p>
    <w:p>
      <w:pPr>
        <w:pStyle w:val="Compact"/>
        <w:numPr>
          <w:ilvl w:val="0"/>
          <w:numId w:val="1003"/>
        </w:numPr>
      </w:pPr>
      <w:r>
        <w:t xml:space="preserve">Task-by-task assessment interface with condition preset selection</w:t>
      </w:r>
    </w:p>
    <w:p>
      <w:pPr>
        <w:pStyle w:val="Compact"/>
        <w:numPr>
          <w:ilvl w:val="0"/>
          <w:numId w:val="1003"/>
        </w:numPr>
      </w:pPr>
      <w:r>
        <w:t xml:space="preserve">Clinical findings entry panel</w:t>
      </w:r>
    </w:p>
    <w:p>
      <w:pPr>
        <w:pStyle w:val="Compact"/>
        <w:numPr>
          <w:ilvl w:val="0"/>
          <w:numId w:val="1003"/>
        </w:numPr>
      </w:pPr>
      <w:r>
        <w:t xml:space="preserve">Patient summary dashboard</w:t>
      </w:r>
    </w:p>
    <w:p>
      <w:pPr>
        <w:pStyle w:val="Compact"/>
        <w:numPr>
          <w:ilvl w:val="0"/>
          <w:numId w:val="1003"/>
        </w:numPr>
      </w:pPr>
      <w:r>
        <w:t xml:space="preserve">JWT Bearer token authentication integrated with all API calls</w:t>
      </w:r>
    </w:p>
    <w:bookmarkEnd w:id="13"/>
    <w:bookmarkStart w:id="14" w:name="database"/>
    <w:p>
      <w:pPr>
        <w:pStyle w:val="Heading3"/>
      </w:pPr>
      <w:r>
        <w:t xml:space="preserve">3.3 Database</w:t>
      </w:r>
    </w:p>
    <w:p>
      <w:pPr>
        <w:pStyle w:val="Compact"/>
        <w:numPr>
          <w:ilvl w:val="0"/>
          <w:numId w:val="1004"/>
        </w:numPr>
      </w:pPr>
      <w:r>
        <w:t xml:space="preserve">SQLite via SQLAlchemy 2.x ORM</w:t>
      </w:r>
    </w:p>
    <w:p>
      <w:pPr>
        <w:pStyle w:val="Compact"/>
        <w:numPr>
          <w:ilvl w:val="0"/>
          <w:numId w:val="1004"/>
        </w:numPr>
      </w:pPr>
      <w:r>
        <w:t xml:space="preserve">Schema:</w:t>
      </w:r>
      <w:r>
        <w:t xml:space="preserve"> </w:t>
      </w:r>
      <w:r>
        <w:rPr>
          <w:rStyle w:val="VerbatimChar"/>
        </w:rPr>
        <w:t xml:space="preserve">clinicians</w:t>
      </w:r>
      <w:r>
        <w:t xml:space="preserve">,</w:t>
      </w:r>
      <w:r>
        <w:t xml:space="preserve"> </w:t>
      </w:r>
      <w:r>
        <w:rPr>
          <w:rStyle w:val="VerbatimChar"/>
        </w:rPr>
        <w:t xml:space="preserve">patients</w:t>
      </w:r>
      <w:r>
        <w:t xml:space="preserve">,</w:t>
      </w:r>
      <w:r>
        <w:t xml:space="preserve"> </w:t>
      </w:r>
      <w:r>
        <w:rPr>
          <w:rStyle w:val="VerbatimChar"/>
        </w:rPr>
        <w:t xml:space="preserve">sessions</w:t>
      </w:r>
      <w:r>
        <w:t xml:space="preserve">,</w:t>
      </w:r>
      <w:r>
        <w:t xml:space="preserve"> </w:t>
      </w:r>
      <w:r>
        <w:rPr>
          <w:rStyle w:val="VerbatimChar"/>
        </w:rPr>
        <w:t xml:space="preserve">tasks</w:t>
      </w:r>
      <w:r>
        <w:t xml:space="preserve">,</w:t>
      </w:r>
      <w:r>
        <w:t xml:space="preserve"> </w:t>
      </w:r>
      <w:r>
        <w:rPr>
          <w:rStyle w:val="VerbatimChar"/>
        </w:rPr>
        <w:t xml:space="preserve">acoustic_features</w:t>
      </w:r>
      <w:r>
        <w:t xml:space="preserve">,</w:t>
      </w:r>
      <w:r>
        <w:t xml:space="preserve"> </w:t>
      </w:r>
      <w:r>
        <w:rPr>
          <w:rStyle w:val="VerbatimChar"/>
        </w:rPr>
        <w:t xml:space="preserve">linguistic_features</w:t>
      </w:r>
      <w:r>
        <w:t xml:space="preserve">,</w:t>
      </w:r>
      <w:r>
        <w:t xml:space="preserve"> </w:t>
      </w:r>
      <w:r>
        <w:rPr>
          <w:rStyle w:val="VerbatimChar"/>
        </w:rPr>
        <w:t xml:space="preserve">semantic_scores</w:t>
      </w:r>
      <w:r>
        <w:t xml:space="preserve">,</w:t>
      </w:r>
      <w:r>
        <w:t xml:space="preserve"> </w:t>
      </w:r>
      <w:r>
        <w:rPr>
          <w:rStyle w:val="VerbatimChar"/>
        </w:rPr>
        <w:t xml:space="preserve">emotion_results</w:t>
      </w:r>
      <w:r>
        <w:t xml:space="preserve">,</w:t>
      </w:r>
      <w:r>
        <w:t xml:space="preserve"> </w:t>
      </w:r>
      <w:r>
        <w:rPr>
          <w:rStyle w:val="VerbatimChar"/>
        </w:rPr>
        <w:t xml:space="preserve">clinical_findings</w:t>
      </w:r>
    </w:p>
    <w:bookmarkEnd w:id="14"/>
    <w:bookmarkStart w:id="15" w:name="sdlc-documentation-suite"/>
    <w:p>
      <w:pPr>
        <w:pStyle w:val="Heading3"/>
      </w:pPr>
      <w:r>
        <w:t xml:space="preserve">3.4 SDLC Documentation Suite</w:t>
      </w:r>
    </w:p>
    <w:p>
      <w:pPr>
        <w:pStyle w:val="FirstParagraph"/>
      </w:pPr>
      <w:r>
        <w:t xml:space="preserve">The following IEC 62304 companion documents are included in this release: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Document ID</w:t>
            </w:r>
          </w:p>
        </w:tc>
        <w:tc>
          <w:tcPr/>
          <w:p>
            <w:pPr>
              <w:pStyle w:val="Compact"/>
            </w:pPr>
            <w:r>
              <w:t xml:space="preserve">Title</w:t>
            </w:r>
          </w:p>
        </w:tc>
      </w:tr>
      <w:tr>
        <w:tc>
          <w:tcPr/>
          <w:p>
            <w:pPr>
              <w:pStyle w:val="Compact"/>
            </w:pPr>
            <w:r>
              <w:t xml:space="preserve">CA-SRS-001</w:t>
            </w:r>
          </w:p>
        </w:tc>
        <w:tc>
          <w:tcPr/>
          <w:p>
            <w:pPr>
              <w:pStyle w:val="Compact"/>
            </w:pPr>
            <w:r>
              <w:t xml:space="preserve">Software Requirements Specification</w:t>
            </w:r>
          </w:p>
        </w:tc>
      </w:tr>
      <w:tr>
        <w:tc>
          <w:tcPr/>
          <w:p>
            <w:pPr>
              <w:pStyle w:val="Compact"/>
            </w:pPr>
            <w:r>
              <w:t xml:space="preserve">CA-SAD-001</w:t>
            </w:r>
          </w:p>
        </w:tc>
        <w:tc>
          <w:tcPr/>
          <w:p>
            <w:pPr>
              <w:pStyle w:val="Compact"/>
            </w:pPr>
            <w:r>
              <w:t xml:space="preserve">Software Architecture Description</w:t>
            </w:r>
          </w:p>
        </w:tc>
      </w:tr>
      <w:tr>
        <w:tc>
          <w:tcPr/>
          <w:p>
            <w:pPr>
              <w:pStyle w:val="Compact"/>
            </w:pPr>
            <w:r>
              <w:t xml:space="preserve">CA-SDP-001</w:t>
            </w:r>
          </w:p>
        </w:tc>
        <w:tc>
          <w:tcPr/>
          <w:p>
            <w:pPr>
              <w:pStyle w:val="Compact"/>
            </w:pPr>
            <w:r>
              <w:t xml:space="preserve">Software Development Plan</w:t>
            </w:r>
          </w:p>
        </w:tc>
      </w:tr>
      <w:tr>
        <w:tc>
          <w:tcPr/>
          <w:p>
            <w:pPr>
              <w:pStyle w:val="Compact"/>
            </w:pPr>
            <w:r>
              <w:t xml:space="preserve">CA-SVP-001</w:t>
            </w:r>
          </w:p>
        </w:tc>
        <w:tc>
          <w:tcPr/>
          <w:p>
            <w:pPr>
              <w:pStyle w:val="Compact"/>
            </w:pPr>
            <w:r>
              <w:t xml:space="preserve">Software Verification Plan</w:t>
            </w:r>
          </w:p>
        </w:tc>
      </w:tr>
      <w:tr>
        <w:tc>
          <w:tcPr/>
          <w:p>
            <w:pPr>
              <w:pStyle w:val="Compact"/>
            </w:pPr>
            <w:r>
              <w:t xml:space="preserve">CA-RMF-001</w:t>
            </w:r>
          </w:p>
        </w:tc>
        <w:tc>
          <w:tcPr/>
          <w:p>
            <w:pPr>
              <w:pStyle w:val="Compact"/>
            </w:pPr>
            <w:r>
              <w:t xml:space="preserve">Risk Management File</w:t>
            </w:r>
          </w:p>
        </w:tc>
      </w:tr>
      <w:tr>
        <w:tc>
          <w:tcPr/>
          <w:p>
            <w:pPr>
              <w:pStyle w:val="Compact"/>
            </w:pPr>
            <w:r>
              <w:t xml:space="preserve">CA-SOUP-001</w:t>
            </w:r>
          </w:p>
        </w:tc>
        <w:tc>
          <w:tcPr/>
          <w:p>
            <w:pPr>
              <w:pStyle w:val="Compact"/>
            </w:pPr>
            <w:r>
              <w:t xml:space="preserve">Software of Unknown Provenance Evaluation</w:t>
            </w:r>
          </w:p>
        </w:tc>
      </w:tr>
      <w:tr>
        <w:tc>
          <w:tcPr/>
          <w:p>
            <w:pPr>
              <w:pStyle w:val="Compact"/>
            </w:pPr>
            <w:r>
              <w:t xml:space="preserve">CA-SRR-001</w:t>
            </w:r>
          </w:p>
        </w:tc>
        <w:tc>
          <w:tcPr/>
          <w:p>
            <w:pPr>
              <w:pStyle w:val="Compact"/>
            </w:pPr>
            <w:r>
              <w:t xml:space="preserve">Software Release Record (this document)</w:t>
            </w:r>
          </w:p>
        </w:tc>
      </w:tr>
      <w:tr>
        <w:tc>
          <w:tcPr/>
          <w:p>
            <w:pPr>
              <w:pStyle w:val="Compact"/>
            </w:pPr>
            <w:r>
              <w:t xml:space="preserve">CA-SEC-001</w:t>
            </w:r>
          </w:p>
        </w:tc>
        <w:tc>
          <w:tcPr/>
          <w:p>
            <w:pPr>
              <w:pStyle w:val="Compact"/>
            </w:pPr>
            <w:r>
              <w:t xml:space="preserve">Security Architecture and Threat Model</w:t>
            </w:r>
          </w:p>
        </w:tc>
      </w:tr>
    </w:tbl>
    <w:p>
      <w:r>
        <w:pict>
          <v:rect style="width:0;height:1.5pt" o:hralign="center" o:hrstd="t" o:hr="t"/>
        </w:pict>
      </w:r>
    </w:p>
    <w:bookmarkEnd w:id="15"/>
    <w:bookmarkEnd w:id="16"/>
    <w:bookmarkStart w:id="17" w:name="changes-from-previous-version"/>
    <w:p>
      <w:pPr>
        <w:pStyle w:val="Heading2"/>
      </w:pPr>
      <w:r>
        <w:t xml:space="preserve">4. Changes from Previous Version</w:t>
      </w:r>
    </w:p>
    <w:p>
      <w:pPr>
        <w:pStyle w:val="FirstParagraph"/>
      </w:pPr>
      <w:r>
        <w:rPr>
          <w:b/>
          <w:bCs/>
        </w:rPr>
        <w:t xml:space="preserve">N/A — this is the first formal release record.</w:t>
      </w:r>
    </w:p>
    <w:p>
      <w:pPr>
        <w:pStyle w:val="BodyText"/>
      </w:pPr>
      <w:r>
        <w:t xml:space="preserve">Prior development work was carried out before a formal SDLC documentation regime was established. All prior work has been retrospectively documented in the companion SDLC suite (CA-SRS-001 through CA-SOUP-001) as required to achieve IEC 62304 Class B compliance from this release forward. Any future releases will include a detailed change log against this baseline.</w:t>
      </w:r>
    </w:p>
    <w:p>
      <w:r>
        <w:pict>
          <v:rect style="width:0;height:1.5pt" o:hralign="center" o:hrstd="t" o:hr="t"/>
        </w:pict>
      </w:r>
    </w:p>
    <w:bookmarkEnd w:id="17"/>
    <w:bookmarkStart w:id="25" w:name="known-limitations-and-open-issues"/>
    <w:p>
      <w:pPr>
        <w:pStyle w:val="Heading2"/>
      </w:pPr>
      <w:r>
        <w:t xml:space="preserve">5. Known Limitations and Open Issues</w:t>
      </w:r>
    </w:p>
    <w:p>
      <w:pPr>
        <w:pStyle w:val="FirstParagraph"/>
      </w:pPr>
      <w:r>
        <w:t xml:space="preserve">The following limitations and open issues are acknowledged for release 0.5.0-beta. Each has been assessed for risk in CA-RMF-001. None are assessed as unacceptable for supervised research use; all are planned for remediation before a production v1.0 release.</w:t>
      </w:r>
    </w:p>
    <w:bookmarkStart w:id="18" w:name="model-validation"/>
    <w:p>
      <w:pPr>
        <w:pStyle w:val="Heading3"/>
      </w:pPr>
      <w:r>
        <w:t xml:space="preserve">5.1 Model Validation</w:t>
      </w:r>
    </w:p>
    <w:p>
      <w:pPr>
        <w:pStyle w:val="FirstParagraph"/>
      </w:pPr>
      <w:r>
        <w:t xml:space="preserve">The acoustic, linguistic, and semantic scoring algorithms have not yet been clinically validated on a representative patient population. Score thresholds and weighting factors are derived from published literature and internal judgement. Scores must be interpreted by a qualified clinician and must not be used as the sole basis for clinical diagnosis. A formal clinical validation study is planned for v1.0.</w:t>
      </w:r>
    </w:p>
    <w:bookmarkEnd w:id="18"/>
    <w:bookmarkStart w:id="19" w:name="sqlite-single-file-database"/>
    <w:p>
      <w:pPr>
        <w:pStyle w:val="Heading3"/>
      </w:pPr>
      <w:r>
        <w:t xml:space="preserve">5.2 SQLite Single-File Database</w:t>
      </w:r>
    </w:p>
    <w:p>
      <w:pPr>
        <w:pStyle w:val="FirstParagraph"/>
      </w:pPr>
      <w:r>
        <w:t xml:space="preserve">SQLite does not support row-level locking or concurrent write access from multiple processes. This database is not suitable for multi-clinician concurrent production use. For the current release, CogAssess is intended for single-site, single-clinician pilot use. Migration to PostgreSQL is planned for v1.0.</w:t>
      </w:r>
    </w:p>
    <w:bookmarkEnd w:id="19"/>
    <w:bookmarkStart w:id="20" w:name="no-automated-test-suite"/>
    <w:p>
      <w:pPr>
        <w:pStyle w:val="Heading3"/>
      </w:pPr>
      <w:r>
        <w:t xml:space="preserve">5.3 No Automated Test Suite</w:t>
      </w:r>
    </w:p>
    <w:p>
      <w:pPr>
        <w:pStyle w:val="FirstParagraph"/>
      </w:pPr>
      <w:r>
        <w:t xml:space="preserve">The verification test cases defined in CA-SVP-001 have not yet been automated. All testing for this release is manual, following the procedures documented in CA-SVP-001. An automated unit and integration test suite is planned for v1.0.</w:t>
      </w:r>
    </w:p>
    <w:bookmarkEnd w:id="20"/>
    <w:bookmarkStart w:id="21" w:name="windows-onedrive-path-compatibility"/>
    <w:p>
      <w:pPr>
        <w:pStyle w:val="Heading3"/>
      </w:pPr>
      <w:r>
        <w:t xml:space="preserve">5.4 Windows OneDrive Path Compatibility</w:t>
      </w:r>
    </w:p>
    <w:p>
      <w:pPr>
        <w:pStyle w:val="FirstParagraph"/>
      </w:pPr>
      <w:r>
        <w:t xml:space="preserve">When the project directory is located within a Windows OneDrive-synchronised path containing spaces,</w:t>
      </w:r>
      <w:r>
        <w:t xml:space="preserve"> </w:t>
      </w:r>
      <w:r>
        <w:rPr>
          <w:rStyle w:val="VerbatimChar"/>
        </w:rPr>
        <w:t xml:space="preserve">uvicorn --reload</w:t>
      </w:r>
      <w:r>
        <w:t xml:space="preserve"> </w:t>
      </w:r>
      <w:r>
        <w:t xml:space="preserve">crashes due to a</w:t>
      </w:r>
      <w:r>
        <w:t xml:space="preserve"> </w:t>
      </w:r>
      <w:r>
        <w:rPr>
          <w:rStyle w:val="VerbatimChar"/>
        </w:rPr>
        <w:t xml:space="preserve">watchfiles</w:t>
      </w:r>
      <w:r>
        <w:t xml:space="preserve"> </w:t>
      </w:r>
      <w:r>
        <w:t xml:space="preserve">library incompatibility with such paths.</w:t>
      </w:r>
      <w:r>
        <w:t xml:space="preserve"> </w:t>
      </w:r>
      <w:r>
        <w:rPr>
          <w:b/>
          <w:bCs/>
        </w:rPr>
        <w:t xml:space="preserve">Workaround:</w:t>
      </w:r>
      <w:r>
        <w:t xml:space="preserve"> </w:t>
      </w:r>
      <w:r>
        <w:t xml:space="preserve">run the server without the</w:t>
      </w:r>
      <w:r>
        <w:t xml:space="preserve"> </w:t>
      </w:r>
      <w:r>
        <w:rPr>
          <w:rStyle w:val="VerbatimChar"/>
        </w:rPr>
        <w:t xml:space="preserve">--reload</w:t>
      </w:r>
      <w:r>
        <w:t xml:space="preserve"> </w:t>
      </w:r>
      <w:r>
        <w:t xml:space="preserve">flag (</w:t>
      </w:r>
      <w:r>
        <w:rPr>
          <w:rStyle w:val="VerbatimChar"/>
        </w:rPr>
        <w:t xml:space="preserve">uvicorn main:app --host 0.0.0.0 --port 8000</w:t>
      </w:r>
      <w:r>
        <w:t xml:space="preserve">). This does not affect functionality; hot-reload is a development convenience only. Resolution is planned for v1.0.</w:t>
      </w:r>
    </w:p>
    <w:bookmarkEnd w:id="21"/>
    <w:bookmarkStart w:id="22" w:name="ffmpeg-path-configuration"/>
    <w:p>
      <w:pPr>
        <w:pStyle w:val="Heading3"/>
      </w:pPr>
      <w:r>
        <w:t xml:space="preserve">5.5 ffmpeg Path Configuration</w:t>
      </w:r>
    </w:p>
    <w:p>
      <w:pPr>
        <w:pStyle w:val="FirstParagraph"/>
      </w:pPr>
      <w:r>
        <w:t xml:space="preserve">The</w:t>
      </w:r>
      <w:r>
        <w:t xml:space="preserve"> </w:t>
      </w:r>
      <w:r>
        <w:rPr>
          <w:rStyle w:val="VerbatimChar"/>
        </w:rPr>
        <w:t xml:space="preserve">ffmpeg</w:t>
      </w:r>
      <w:r>
        <w:t xml:space="preserve"> </w:t>
      </w:r>
      <w:r>
        <w:t xml:space="preserve">executable is not automatically discovered from the system PATH in all environments. Users must set the</w:t>
      </w:r>
      <w:r>
        <w:t xml:space="preserve"> </w:t>
      </w:r>
      <w:r>
        <w:rPr>
          <w:rStyle w:val="VerbatimChar"/>
        </w:rPr>
        <w:t xml:space="preserve">FFMPEG_PATH</w:t>
      </w:r>
      <w:r>
        <w:t xml:space="preserve"> </w:t>
      </w:r>
      <w:r>
        <w:t xml:space="preserve">environment variable to the full path of the ffmpeg binary if it is not on the system PATH. See README.md for configuration instructions.</w:t>
      </w:r>
    </w:p>
    <w:bookmarkEnd w:id="22"/>
    <w:bookmarkStart w:id="23" w:name="bcrypt-passlib-compatibility"/>
    <w:p>
      <w:pPr>
        <w:pStyle w:val="Heading3"/>
      </w:pPr>
      <w:r>
        <w:t xml:space="preserve">5.6 bcrypt / passlib Compatibility</w:t>
      </w:r>
    </w:p>
    <w:p>
      <w:pPr>
        <w:pStyle w:val="FirstParagraph"/>
      </w:pPr>
      <w:r>
        <w:rPr>
          <w:rStyle w:val="VerbatimChar"/>
        </w:rPr>
        <w:t xml:space="preserve">bcrypt</w:t>
      </w:r>
      <w:r>
        <w:t xml:space="preserve"> </w:t>
      </w:r>
      <w:r>
        <w:t xml:space="preserve">version 4.x introduced a breaking change that removes the</w:t>
      </w:r>
      <w:r>
        <w:t xml:space="preserve"> </w:t>
      </w:r>
      <w:r>
        <w:rPr>
          <w:rStyle w:val="VerbatimChar"/>
        </w:rPr>
        <w:t xml:space="preserve">__about__</w:t>
      </w:r>
      <w:r>
        <w:t xml:space="preserve"> </w:t>
      </w:r>
      <w:r>
        <w:t xml:space="preserve">attribute relied upon by</w:t>
      </w:r>
      <w:r>
        <w:t xml:space="preserve"> </w:t>
      </w:r>
      <w:r>
        <w:rPr>
          <w:rStyle w:val="VerbatimChar"/>
        </w:rPr>
        <w:t xml:space="preserve">passlib</w:t>
      </w:r>
      <w:r>
        <w:t xml:space="preserve"> </w:t>
      </w:r>
      <w:r>
        <w:t xml:space="preserve">1.7.x. This is mitigated by a startup patch in</w:t>
      </w:r>
      <w:r>
        <w:t xml:space="preserve"> </w:t>
      </w:r>
      <w:r>
        <w:rPr>
          <w:rStyle w:val="VerbatimChar"/>
        </w:rPr>
        <w:t xml:space="preserve">main.py</w:t>
      </w:r>
      <w:r>
        <w:t xml:space="preserve"> </w:t>
      </w:r>
      <w:r>
        <w:t xml:space="preserve">that restores the missing attribute before passlib initialises. This issue is tracked as SOUP-04 in CA-SOUP-001. A permanent fix via</w:t>
      </w:r>
      <w:r>
        <w:t xml:space="preserve"> </w:t>
      </w:r>
      <w:r>
        <w:rPr>
          <w:rStyle w:val="VerbatimChar"/>
        </w:rPr>
        <w:t xml:space="preserve">passlib</w:t>
      </w:r>
      <w:r>
        <w:t xml:space="preserve"> </w:t>
      </w:r>
      <w:r>
        <w:t xml:space="preserve">upgrade or replacement is planned for v1.0.</w:t>
      </w:r>
    </w:p>
    <w:bookmarkEnd w:id="23"/>
    <w:bookmarkStart w:id="24" w:name="english-only-language-support"/>
    <w:p>
      <w:pPr>
        <w:pStyle w:val="Heading3"/>
      </w:pPr>
      <w:r>
        <w:t xml:space="preserve">5.7 English-Only Language Support</w:t>
      </w:r>
    </w:p>
    <w:p>
      <w:pPr>
        <w:pStyle w:val="FirstParagraph"/>
      </w:pPr>
      <w:r>
        <w:t xml:space="preserve">The Google Cloud STT Chirp model and the HuggingFace emotion classifier (</w:t>
      </w:r>
      <w:r>
        <w:rPr>
          <w:rStyle w:val="VerbatimChar"/>
        </w:rPr>
        <w:t xml:space="preserve">j-hartmann/emotion-english-distilroberta-base</w:t>
      </w:r>
      <w:r>
        <w:t xml:space="preserve">) are optimised for English-language speech. Non-English speakers will receive degraded transcription and emotion classification accuracy. The system logs a warning when non-English speech is detected, but does not refuse to process it or provide alternative models. Full multilingual support is deferred to a future release.</w:t>
      </w:r>
    </w:p>
    <w:p>
      <w:r>
        <w:pict>
          <v:rect style="width:0;height:1.5pt" o:hralign="center" o:hrstd="t" o:hr="t"/>
        </w:pict>
      </w:r>
    </w:p>
    <w:bookmarkEnd w:id="24"/>
    <w:bookmarkEnd w:id="25"/>
    <w:bookmarkStart w:id="26" w:name="sdlc-verification-checklist"/>
    <w:p>
      <w:pPr>
        <w:pStyle w:val="Heading2"/>
      </w:pPr>
      <w:r>
        <w:t xml:space="preserve">6. SDLC Verification Checklist</w:t>
      </w:r>
    </w:p>
    <w:p>
      <w:pPr>
        <w:pStyle w:val="FirstParagraph"/>
      </w:pPr>
      <w:r>
        <w:t xml:space="preserve">The following table records the verification status of each required IEC 62304 Class B lifecycle activity as of this release. Items marked</w:t>
      </w:r>
      <w:r>
        <w:t xml:space="preserve"> </w:t>
      </w:r>
      <w:r>
        <w:t xml:space="preserve">“Not yet”</w:t>
      </w:r>
      <w:r>
        <w:t xml:space="preserve"> </w:t>
      </w:r>
      <w:r>
        <w:t xml:space="preserve">are recorded as known gaps and are planned for remediation before v1.0.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Status</w:t>
            </w:r>
          </w:p>
        </w:tc>
        <w:tc>
          <w:tcPr/>
          <w:p>
            <w:pPr>
              <w:pStyle w:val="Compact"/>
            </w:pPr>
            <w:r>
              <w:t xml:space="preserve">Evidence</w:t>
            </w:r>
          </w:p>
        </w:tc>
      </w:tr>
      <w:tr>
        <w:tc>
          <w:tcPr/>
          <w:p>
            <w:pPr>
              <w:pStyle w:val="Compact"/>
            </w:pPr>
            <w:r>
              <w:t xml:space="preserve">All SRS requirements documented</w:t>
            </w:r>
          </w:p>
        </w:tc>
        <w:tc>
          <w:tcPr/>
          <w:p>
            <w:pPr>
              <w:pStyle w:val="Compact"/>
            </w:pPr>
            <w:r>
              <w:t xml:space="preserve">Complete</w:t>
            </w:r>
          </w:p>
        </w:tc>
        <w:tc>
          <w:tcPr/>
          <w:p>
            <w:pPr>
              <w:pStyle w:val="Compact"/>
            </w:pPr>
            <w:r>
              <w:t xml:space="preserve">CA-SRS-001</w:t>
            </w:r>
          </w:p>
        </w:tc>
      </w:tr>
      <w:tr>
        <w:tc>
          <w:tcPr/>
          <w:p>
            <w:pPr>
              <w:pStyle w:val="Compact"/>
            </w:pPr>
            <w:r>
              <w:t xml:space="preserve">Software architecture documented</w:t>
            </w:r>
          </w:p>
        </w:tc>
        <w:tc>
          <w:tcPr/>
          <w:p>
            <w:pPr>
              <w:pStyle w:val="Compact"/>
            </w:pPr>
            <w:r>
              <w:t xml:space="preserve">Complete</w:t>
            </w:r>
          </w:p>
        </w:tc>
        <w:tc>
          <w:tcPr/>
          <w:p>
            <w:pPr>
              <w:pStyle w:val="Compact"/>
            </w:pPr>
            <w:r>
              <w:t xml:space="preserve">CA-SAD-001</w:t>
            </w:r>
          </w:p>
        </w:tc>
      </w:tr>
      <w:tr>
        <w:tc>
          <w:tcPr/>
          <w:p>
            <w:pPr>
              <w:pStyle w:val="Compact"/>
            </w:pPr>
            <w:r>
              <w:t xml:space="preserve">Development plan approved</w:t>
            </w:r>
          </w:p>
        </w:tc>
        <w:tc>
          <w:tcPr/>
          <w:p>
            <w:pPr>
              <w:pStyle w:val="Compact"/>
            </w:pPr>
            <w:r>
              <w:t xml:space="preserve">Complete</w:t>
            </w:r>
          </w:p>
        </w:tc>
        <w:tc>
          <w:tcPr/>
          <w:p>
            <w:pPr>
              <w:pStyle w:val="Compact"/>
            </w:pPr>
            <w:r>
              <w:t xml:space="preserve">CA-SDP-001</w:t>
            </w:r>
          </w:p>
        </w:tc>
      </w:tr>
      <w:tr>
        <w:tc>
          <w:tcPr/>
          <w:p>
            <w:pPr>
              <w:pStyle w:val="Compact"/>
            </w:pPr>
            <w:r>
              <w:t xml:space="preserve">Verification plan defined</w:t>
            </w:r>
          </w:p>
        </w:tc>
        <w:tc>
          <w:tcPr/>
          <w:p>
            <w:pPr>
              <w:pStyle w:val="Compact"/>
            </w:pPr>
            <w:r>
              <w:t xml:space="preserve">Complete</w:t>
            </w:r>
          </w:p>
        </w:tc>
        <w:tc>
          <w:tcPr/>
          <w:p>
            <w:pPr>
              <w:pStyle w:val="Compact"/>
            </w:pPr>
            <w:r>
              <w:t xml:space="preserve">CA-SVP-001</w:t>
            </w:r>
          </w:p>
        </w:tc>
      </w:tr>
      <w:tr>
        <w:tc>
          <w:tcPr/>
          <w:p>
            <w:pPr>
              <w:pStyle w:val="Compact"/>
            </w:pPr>
            <w:r>
              <w:t xml:space="preserve">Risk management file completed</w:t>
            </w:r>
          </w:p>
        </w:tc>
        <w:tc>
          <w:tcPr/>
          <w:p>
            <w:pPr>
              <w:pStyle w:val="Compact"/>
            </w:pPr>
            <w:r>
              <w:t xml:space="preserve">Complete</w:t>
            </w:r>
          </w:p>
        </w:tc>
        <w:tc>
          <w:tcPr/>
          <w:p>
            <w:pPr>
              <w:pStyle w:val="Compact"/>
            </w:pPr>
            <w:r>
              <w:t xml:space="preserve">CA-RMF-001</w:t>
            </w:r>
          </w:p>
        </w:tc>
      </w:tr>
      <w:tr>
        <w:tc>
          <w:tcPr/>
          <w:p>
            <w:pPr>
              <w:pStyle w:val="Compact"/>
            </w:pPr>
            <w:r>
              <w:t xml:space="preserve">SOUP evaluation completed</w:t>
            </w:r>
          </w:p>
        </w:tc>
        <w:tc>
          <w:tcPr/>
          <w:p>
            <w:pPr>
              <w:pStyle w:val="Compact"/>
            </w:pPr>
            <w:r>
              <w:t xml:space="preserve">Complete</w:t>
            </w:r>
          </w:p>
        </w:tc>
        <w:tc>
          <w:tcPr/>
          <w:p>
            <w:pPr>
              <w:pStyle w:val="Compact"/>
            </w:pPr>
            <w:r>
              <w:t xml:space="preserve">CA-SOUP-001</w:t>
            </w:r>
          </w:p>
        </w:tc>
      </w:tr>
      <w:tr>
        <w:tc>
          <w:tcPr/>
          <w:p>
            <w:pPr>
              <w:pStyle w:val="Compact"/>
            </w:pPr>
            <w:r>
              <w:t xml:space="preserve">Security architecture documented</w:t>
            </w:r>
          </w:p>
        </w:tc>
        <w:tc>
          <w:tcPr/>
          <w:p>
            <w:pPr>
              <w:pStyle w:val="Compact"/>
            </w:pPr>
            <w:r>
              <w:t xml:space="preserve">Complete</w:t>
            </w:r>
          </w:p>
        </w:tc>
        <w:tc>
          <w:tcPr/>
          <w:p>
            <w:pPr>
              <w:pStyle w:val="Compact"/>
            </w:pPr>
            <w:r>
              <w:t xml:space="preserve">CA-SEC-001</w:t>
            </w:r>
          </w:p>
        </w:tc>
      </w:tr>
      <w:tr>
        <w:tc>
          <w:tcPr/>
          <w:p>
            <w:pPr>
              <w:pStyle w:val="Compact"/>
            </w:pPr>
            <w:r>
              <w:t xml:space="preserve">Automated unit tests</w:t>
            </w:r>
          </w:p>
        </w:tc>
        <w:tc>
          <w:tcPr/>
          <w:p>
            <w:pPr>
              <w:pStyle w:val="Compact"/>
            </w:pPr>
            <w:r>
              <w:t xml:space="preserve">Not yet</w:t>
            </w:r>
          </w:p>
        </w:tc>
        <w:tc>
          <w:tcPr/>
          <w:p>
            <w:pPr>
              <w:pStyle w:val="Compact"/>
            </w:pPr>
            <w:r>
              <w:t xml:space="preserve">Planned for v1.0</w:t>
            </w:r>
          </w:p>
        </w:tc>
      </w:tr>
      <w:tr>
        <w:tc>
          <w:tcPr/>
          <w:p>
            <w:pPr>
              <w:pStyle w:val="Compact"/>
            </w:pPr>
            <w:r>
              <w:t xml:space="preserve">Automated integration tests</w:t>
            </w:r>
          </w:p>
        </w:tc>
        <w:tc>
          <w:tcPr/>
          <w:p>
            <w:pPr>
              <w:pStyle w:val="Compact"/>
            </w:pPr>
            <w:r>
              <w:t xml:space="preserve">Not yet</w:t>
            </w:r>
          </w:p>
        </w:tc>
        <w:tc>
          <w:tcPr/>
          <w:p>
            <w:pPr>
              <w:pStyle w:val="Compact"/>
            </w:pPr>
            <w:r>
              <w:t xml:space="preserve">Planned for v1.0</w:t>
            </w:r>
          </w:p>
        </w:tc>
      </w:tr>
      <w:tr>
        <w:tc>
          <w:tcPr/>
          <w:p>
            <w:pPr>
              <w:pStyle w:val="Compact"/>
            </w:pPr>
            <w:r>
              <w:t xml:space="preserve">System tests per SVP</w:t>
            </w:r>
          </w:p>
        </w:tc>
        <w:tc>
          <w:tcPr/>
          <w:p>
            <w:pPr>
              <w:pStyle w:val="Compact"/>
            </w:pPr>
            <w:r>
              <w:t xml:space="preserve">Manual only</w:t>
            </w:r>
          </w:p>
        </w:tc>
        <w:tc>
          <w:tcPr/>
          <w:p>
            <w:pPr>
              <w:pStyle w:val="Compact"/>
            </w:pPr>
            <w:r>
              <w:t xml:space="preserve">To be executed before v1.0 per CA-SVP-001</w:t>
            </w:r>
          </w:p>
        </w:tc>
      </w:tr>
      <w:tr>
        <w:tc>
          <w:tcPr/>
          <w:p>
            <w:pPr>
              <w:pStyle w:val="Compact"/>
            </w:pPr>
            <w:r>
              <w:t xml:space="preserve">Penetration testing</w:t>
            </w:r>
          </w:p>
        </w:tc>
        <w:tc>
          <w:tcPr/>
          <w:p>
            <w:pPr>
              <w:pStyle w:val="Compact"/>
            </w:pPr>
            <w:r>
              <w:t xml:space="preserve">Not yet</w:t>
            </w:r>
          </w:p>
        </w:tc>
        <w:tc>
          <w:tcPr/>
          <w:p>
            <w:pPr>
              <w:pStyle w:val="Compact"/>
            </w:pPr>
            <w:r>
              <w:t xml:space="preserve">Planned before production deployment</w:t>
            </w:r>
          </w:p>
        </w:tc>
      </w:tr>
      <w:tr>
        <w:tc>
          <w:tcPr/>
          <w:p>
            <w:pPr>
              <w:pStyle w:val="Compact"/>
            </w:pPr>
            <w:r>
              <w:t xml:space="preserve">Clinical validation study</w:t>
            </w:r>
          </w:p>
        </w:tc>
        <w:tc>
          <w:tcPr/>
          <w:p>
            <w:pPr>
              <w:pStyle w:val="Compact"/>
            </w:pPr>
            <w:r>
              <w:t xml:space="preserve">Not yet</w:t>
            </w:r>
          </w:p>
        </w:tc>
        <w:tc>
          <w:tcPr/>
          <w:p>
            <w:pPr>
              <w:pStyle w:val="Compact"/>
            </w:pPr>
            <w:r>
              <w:t xml:space="preserve">Planned for v1.0</w:t>
            </w:r>
          </w:p>
        </w:tc>
      </w:tr>
      <w:tr>
        <w:tc>
          <w:tcPr/>
          <w:p>
            <w:pPr>
              <w:pStyle w:val="Compact"/>
            </w:pPr>
            <w:r>
              <w:t xml:space="preserve">Traceability: SRS requirements → architecture</w:t>
            </w:r>
          </w:p>
        </w:tc>
        <w:tc>
          <w:tcPr/>
          <w:p>
            <w:pPr>
              <w:pStyle w:val="Compact"/>
            </w:pPr>
            <w:r>
              <w:t xml:space="preserve">Complete</w:t>
            </w:r>
          </w:p>
        </w:tc>
        <w:tc>
          <w:tcPr/>
          <w:p>
            <w:pPr>
              <w:pStyle w:val="Compact"/>
            </w:pPr>
            <w:r>
              <w:t xml:space="preserve">CA-SAD-001 §6</w:t>
            </w:r>
          </w:p>
        </w:tc>
      </w:tr>
      <w:tr>
        <w:tc>
          <w:tcPr/>
          <w:p>
            <w:pPr>
              <w:pStyle w:val="Compact"/>
            </w:pPr>
            <w:r>
              <w:t xml:space="preserve">Traceability: requirements → risk controls</w:t>
            </w:r>
          </w:p>
        </w:tc>
        <w:tc>
          <w:tcPr/>
          <w:p>
            <w:pPr>
              <w:pStyle w:val="Compact"/>
            </w:pPr>
            <w:r>
              <w:t xml:space="preserve">Complete</w:t>
            </w:r>
          </w:p>
        </w:tc>
        <w:tc>
          <w:tcPr/>
          <w:p>
            <w:pPr>
              <w:pStyle w:val="Compact"/>
            </w:pPr>
            <w:r>
              <w:t xml:space="preserve">CA-RMF-001 §5</w:t>
            </w:r>
          </w:p>
        </w:tc>
      </w:tr>
      <w:tr>
        <w:tc>
          <w:tcPr/>
          <w:p>
            <w:pPr>
              <w:pStyle w:val="Compact"/>
            </w:pPr>
            <w:r>
              <w:t xml:space="preserve">Traceability: requirements → verification cases</w:t>
            </w:r>
          </w:p>
        </w:tc>
        <w:tc>
          <w:tcPr/>
          <w:p>
            <w:pPr>
              <w:pStyle w:val="Compact"/>
            </w:pPr>
            <w:r>
              <w:t xml:space="preserve">Partial</w:t>
            </w:r>
          </w:p>
        </w:tc>
        <w:tc>
          <w:tcPr/>
          <w:p>
            <w:pPr>
              <w:pStyle w:val="Compact"/>
            </w:pPr>
            <w:r>
              <w:t xml:space="preserve">CA-SVP-001 (manual cases defined, not yet executed)</w:t>
            </w:r>
          </w:p>
        </w:tc>
      </w:tr>
    </w:tbl>
    <w:p>
      <w:r>
        <w:pict>
          <v:rect style="width:0;height:1.5pt" o:hralign="center" o:hrstd="t" o:hr="t"/>
        </w:pict>
      </w:r>
    </w:p>
    <w:bookmarkEnd w:id="26"/>
    <w:bookmarkStart w:id="32" w:name="deployment-instructions-summary"/>
    <w:p>
      <w:pPr>
        <w:pStyle w:val="Heading2"/>
      </w:pPr>
      <w:r>
        <w:t xml:space="preserve">7. Deployment Instructions Summary</w:t>
      </w:r>
    </w:p>
    <w:p>
      <w:pPr>
        <w:pStyle w:val="FirstParagraph"/>
      </w:pPr>
      <w:r>
        <w:t xml:space="preserve">Full deployment instructions are provided in</w:t>
      </w:r>
      <w:r>
        <w:t xml:space="preserve"> </w:t>
      </w:r>
      <w:r>
        <w:rPr>
          <w:rStyle w:val="VerbatimChar"/>
        </w:rPr>
        <w:t xml:space="preserve">README.md</w:t>
      </w:r>
      <w:r>
        <w:t xml:space="preserve"> </w:t>
      </w:r>
      <w:r>
        <w:t xml:space="preserve">at the root of the repository. A summary is provided here for reference.</w:t>
      </w:r>
    </w:p>
    <w:bookmarkStart w:id="27" w:name="prerequisites"/>
    <w:p>
      <w:pPr>
        <w:pStyle w:val="Heading3"/>
      </w:pPr>
      <w:r>
        <w:t xml:space="preserve">7.1 Prerequisites</w:t>
      </w:r>
    </w:p>
    <w:p>
      <w:pPr>
        <w:pStyle w:val="Compact"/>
        <w:numPr>
          <w:ilvl w:val="0"/>
          <w:numId w:val="1005"/>
        </w:numPr>
      </w:pPr>
      <w:r>
        <w:t xml:space="preserve">Python 3.11 or later</w:t>
      </w:r>
    </w:p>
    <w:p>
      <w:pPr>
        <w:pStyle w:val="Compact"/>
        <w:numPr>
          <w:ilvl w:val="0"/>
          <w:numId w:val="1005"/>
        </w:numPr>
      </w:pPr>
      <w:r>
        <w:t xml:space="preserve">Node.js 18 or later and npm</w:t>
      </w:r>
    </w:p>
    <w:p>
      <w:pPr>
        <w:pStyle w:val="Compact"/>
        <w:numPr>
          <w:ilvl w:val="0"/>
          <w:numId w:val="1005"/>
        </w:numPr>
      </w:pPr>
      <w:r>
        <w:t xml:space="preserve">ffmpeg installed and accessible (set</w:t>
      </w:r>
      <w:r>
        <w:t xml:space="preserve"> </w:t>
      </w:r>
      <w:r>
        <w:rPr>
          <w:rStyle w:val="VerbatimChar"/>
        </w:rPr>
        <w:t xml:space="preserve">FFMPEG_PATH</w:t>
      </w:r>
      <w:r>
        <w:t xml:space="preserve"> </w:t>
      </w:r>
      <w:r>
        <w:t xml:space="preserve">if not on system PATH)</w:t>
      </w:r>
    </w:p>
    <w:p>
      <w:pPr>
        <w:pStyle w:val="Compact"/>
        <w:numPr>
          <w:ilvl w:val="0"/>
          <w:numId w:val="1005"/>
        </w:numPr>
      </w:pPr>
      <w:r>
        <w:t xml:space="preserve">Google Cloud Platform project with Speech-to-Text API enabled</w:t>
      </w:r>
    </w:p>
    <w:p>
      <w:pPr>
        <w:pStyle w:val="Compact"/>
        <w:numPr>
          <w:ilvl w:val="0"/>
          <w:numId w:val="1005"/>
        </w:numPr>
      </w:pPr>
      <w:r>
        <w:t xml:space="preserve">GCP service account JSON key file</w:t>
      </w:r>
    </w:p>
    <w:bookmarkEnd w:id="27"/>
    <w:bookmarkStart w:id="28" w:name="backend-setup"/>
    <w:p>
      <w:pPr>
        <w:pStyle w:val="Heading3"/>
      </w:pPr>
      <w:r>
        <w:t xml:space="preserve">7.2 Backend Setup</w:t>
      </w:r>
    </w:p>
    <w:p>
      <w:pPr>
        <w:pStyle w:val="SourceCode"/>
      </w:pPr>
      <w:r>
        <w:rPr>
          <w:rStyle w:val="CommentTok"/>
        </w:rPr>
        <w:t xml:space="preserve"># Create and activate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BuiltInTok"/>
        </w:rPr>
        <w:t xml:space="preserve">.</w:t>
      </w:r>
      <w:r>
        <w:rPr>
          <w:rStyle w:val="DataTypeTok"/>
        </w:rPr>
        <w:t xml:space="preserve">\v</w:t>
      </w:r>
      <w:r>
        <w:rPr>
          <w:rStyle w:val="NormalTok"/>
        </w:rPr>
        <w:t xml:space="preserve">env</w:t>
      </w:r>
      <w:r>
        <w:rPr>
          <w:rStyle w:val="DataTypeTok"/>
        </w:rPr>
        <w:t xml:space="preserve">\S</w:t>
      </w:r>
      <w:r>
        <w:rPr>
          <w:rStyle w:val="NormalTok"/>
        </w:rPr>
        <w:t xml:space="preserve">cripts</w:t>
      </w:r>
      <w:r>
        <w:rPr>
          <w:rStyle w:val="DataTypeTok"/>
        </w:rPr>
        <w:t xml:space="preserve">\a</w:t>
      </w:r>
      <w:r>
        <w:rPr>
          <w:rStyle w:val="NormalTok"/>
        </w:rPr>
        <w:t xml:space="preserve">ctivate   </w:t>
      </w:r>
      <w:r>
        <w:rPr>
          <w:rStyle w:val="CommentTok"/>
        </w:rPr>
        <w:t xml:space="preserve"># Windows</w:t>
      </w:r>
      <w:r>
        <w:br/>
      </w:r>
      <w:r>
        <w:rPr>
          <w:rStyle w:val="BuiltInTok"/>
        </w:rPr>
        <w:t xml:space="preserve">source</w:t>
      </w:r>
      <w:r>
        <w:rPr>
          <w:rStyle w:val="NormalTok"/>
        </w:rPr>
        <w:t xml:space="preserve"> venv/bin/activate  </w:t>
      </w:r>
      <w:r>
        <w:rPr>
          <w:rStyle w:val="CommentTok"/>
        </w:rPr>
        <w:t xml:space="preserve"># Linux/macOS</w:t>
      </w:r>
      <w:r>
        <w:br/>
      </w:r>
      <w:r>
        <w:br/>
      </w:r>
      <w:r>
        <w:rPr>
          <w:rStyle w:val="CommentTok"/>
        </w:rPr>
        <w:t xml:space="preserve"># Install dependencies</w:t>
      </w:r>
      <w:r>
        <w:br/>
      </w:r>
      <w:r>
        <w:rPr>
          <w:rStyle w:val="ExtensionTok"/>
        </w:rPr>
        <w:t xml:space="preserve">pip</w:t>
      </w:r>
      <w:r>
        <w:rPr>
          <w:rStyle w:val="NormalTok"/>
        </w:rPr>
        <w:t xml:space="preserve"> install </w:t>
      </w:r>
      <w:r>
        <w:rPr>
          <w:rStyle w:val="AttributeTok"/>
        </w:rPr>
        <w:t xml:space="preserve">-r</w:t>
      </w:r>
      <w:r>
        <w:rPr>
          <w:rStyle w:val="NormalTok"/>
        </w:rPr>
        <w:t xml:space="preserve"> requirements.txt</w:t>
      </w:r>
      <w:r>
        <w:br/>
      </w:r>
      <w:r>
        <w:br/>
      </w:r>
      <w:r>
        <w:rPr>
          <w:rStyle w:val="CommentTok"/>
        </w:rPr>
        <w:t xml:space="preserve"># Configure environment variables (copy and edit .env.example)</w:t>
      </w:r>
      <w:r>
        <w:br/>
      </w:r>
      <w:r>
        <w:rPr>
          <w:rStyle w:val="CommentTok"/>
        </w:rPr>
        <w:t xml:space="preserve"># Required: SECRET_KEY, GOOGLE_APPLICATION_CREDENTIALS, FFMPEG_PATH (if needed)</w:t>
      </w:r>
      <w:r>
        <w:br/>
      </w:r>
      <w:r>
        <w:br/>
      </w:r>
      <w:r>
        <w:rPr>
          <w:rStyle w:val="CommentTok"/>
        </w:rPr>
        <w:t xml:space="preserve"># Run the backend server (omit --reload on OneDrive paths)</w:t>
      </w:r>
      <w:r>
        <w:br/>
      </w:r>
      <w:r>
        <w:rPr>
          <w:rStyle w:val="ExtensionTok"/>
        </w:rPr>
        <w:t xml:space="preserve">uvicorn</w:t>
      </w:r>
      <w:r>
        <w:rPr>
          <w:rStyle w:val="NormalTok"/>
        </w:rPr>
        <w:t xml:space="preserve"> main:app </w:t>
      </w:r>
      <w:r>
        <w:rPr>
          <w:rStyle w:val="AttributeTok"/>
        </w:rPr>
        <w:t xml:space="preserve">--host</w:t>
      </w:r>
      <w:r>
        <w:rPr>
          <w:rStyle w:val="NormalTok"/>
        </w:rPr>
        <w:t xml:space="preserve"> 0.0.0.0 </w:t>
      </w:r>
      <w:r>
        <w:rPr>
          <w:rStyle w:val="AttributeTok"/>
        </w:rPr>
        <w:t xml:space="preserve">--port</w:t>
      </w:r>
      <w:r>
        <w:rPr>
          <w:rStyle w:val="NormalTok"/>
        </w:rPr>
        <w:t xml:space="preserve"> 8000</w:t>
      </w:r>
    </w:p>
    <w:bookmarkEnd w:id="28"/>
    <w:bookmarkStart w:id="29" w:name="frontend-setup"/>
    <w:p>
      <w:pPr>
        <w:pStyle w:val="Heading3"/>
      </w:pPr>
      <w:r>
        <w:t xml:space="preserve">7.3 Frontend Setup</w:t>
      </w:r>
    </w:p>
    <w:p>
      <w:pPr>
        <w:pStyle w:val="SourceCode"/>
      </w:pPr>
      <w:r>
        <w:rPr>
          <w:rStyle w:val="BuiltInTok"/>
        </w:rPr>
        <w:t xml:space="preserve">cd</w:t>
      </w:r>
      <w:r>
        <w:rPr>
          <w:rStyle w:val="NormalTok"/>
        </w:rPr>
        <w:t xml:space="preserve"> frontend</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bookmarkEnd w:id="29"/>
    <w:bookmarkStart w:id="30" w:name="first-run-initialisation"/>
    <w:p>
      <w:pPr>
        <w:pStyle w:val="Heading3"/>
      </w:pPr>
      <w:r>
        <w:t xml:space="preserve">7.4 First-Run Initialisation</w:t>
      </w:r>
    </w:p>
    <w:p>
      <w:pPr>
        <w:pStyle w:val="FirstParagraph"/>
      </w:pPr>
      <w:r>
        <w:t xml:space="preserve">On first run, the SQLite database is created automatically by SQLAlchemy. A default clinician account should be created via the</w:t>
      </w:r>
      <w:r>
        <w:t xml:space="preserve"> </w:t>
      </w:r>
      <w:r>
        <w:rPr>
          <w:rStyle w:val="VerbatimChar"/>
        </w:rPr>
        <w:t xml:space="preserve">/auth/register</w:t>
      </w:r>
      <w:r>
        <w:t xml:space="preserve"> </w:t>
      </w:r>
      <w:r>
        <w:t xml:space="preserve">endpoint before clinical use. Refer to README.md for the full first-run walkthrough.</w:t>
      </w:r>
    </w:p>
    <w:bookmarkEnd w:id="30"/>
    <w:bookmarkStart w:id="31" w:name="production-deployment-pre-conditions"/>
    <w:p>
      <w:pPr>
        <w:pStyle w:val="Heading3"/>
      </w:pPr>
      <w:r>
        <w:t xml:space="preserve">7.5 Production Deployment Pre-conditions</w:t>
      </w:r>
    </w:p>
    <w:p>
      <w:pPr>
        <w:pStyle w:val="FirstParagraph"/>
      </w:pPr>
      <w:r>
        <w:t xml:space="preserve">Before deploying to any environment where real patient data will be processed, the following pre-conditions must be satisfied (see also CA-SEC-001 §8):</w:t>
      </w:r>
    </w:p>
    <w:p>
      <w:pPr>
        <w:pStyle w:val="Compact"/>
        <w:numPr>
          <w:ilvl w:val="0"/>
          <w:numId w:val="1006"/>
        </w:numPr>
      </w:pPr>
      <w:r>
        <w:t xml:space="preserve">HTTPS via TLS 1.2 or later must be configured</w:t>
      </w:r>
    </w:p>
    <w:p>
      <w:pPr>
        <w:pStyle w:val="Compact"/>
        <w:numPr>
          <w:ilvl w:val="0"/>
          <w:numId w:val="1006"/>
        </w:numPr>
      </w:pPr>
      <w:r>
        <w:t xml:space="preserve">CORS origins must be restricted to the specific deployment domain</w:t>
      </w:r>
    </w:p>
    <w:p>
      <w:pPr>
        <w:pStyle w:val="Compact"/>
        <w:numPr>
          <w:ilvl w:val="0"/>
          <w:numId w:val="1006"/>
        </w:numPr>
      </w:pPr>
      <w:r>
        <w:t xml:space="preserve">Rate limiting must be applied to</w:t>
      </w:r>
      <w:r>
        <w:t xml:space="preserve"> </w:t>
      </w:r>
      <w:r>
        <w:rPr>
          <w:rStyle w:val="VerbatimChar"/>
        </w:rPr>
        <w:t xml:space="preserve">/auth/login</w:t>
      </w:r>
    </w:p>
    <w:p>
      <w:pPr>
        <w:pStyle w:val="Compact"/>
        <w:numPr>
          <w:ilvl w:val="0"/>
          <w:numId w:val="1006"/>
        </w:numPr>
      </w:pPr>
      <w:r>
        <w:t xml:space="preserve">A minimum 256-bit random</w:t>
      </w:r>
      <w:r>
        <w:t xml:space="preserve"> </w:t>
      </w:r>
      <w:r>
        <w:rPr>
          <w:rStyle w:val="VerbatimChar"/>
        </w:rPr>
        <w:t xml:space="preserve">SECRET_KEY</w:t>
      </w:r>
      <w:r>
        <w:t xml:space="preserve"> </w:t>
      </w:r>
      <w:r>
        <w:t xml:space="preserve">must be stored in a secrets manager</w:t>
      </w:r>
    </w:p>
    <w:p>
      <w:pPr>
        <w:pStyle w:val="Compact"/>
        <w:numPr>
          <w:ilvl w:val="0"/>
          <w:numId w:val="1006"/>
        </w:numPr>
      </w:pPr>
      <w:r>
        <w:t xml:space="preserve">A penetration test must be conducted and findings remediated</w:t>
      </w:r>
    </w:p>
    <w:p>
      <w:pPr>
        <w:pStyle w:val="Compact"/>
        <w:numPr>
          <w:ilvl w:val="0"/>
          <w:numId w:val="1006"/>
        </w:numPr>
      </w:pPr>
      <w:r>
        <w:t xml:space="preserve">The clinical validation study must be completed or a risk acceptance decision formally recorded</w:t>
      </w:r>
    </w:p>
    <w:p>
      <w:r>
        <w:pict>
          <v:rect style="width:0;height:1.5pt" o:hralign="center" o:hrstd="t" o:hr="t"/>
        </w:pict>
      </w:r>
    </w:p>
    <w:bookmarkEnd w:id="31"/>
    <w:bookmarkEnd w:id="32"/>
    <w:bookmarkStart w:id="33" w:name="release-approval"/>
    <w:p>
      <w:pPr>
        <w:pStyle w:val="Heading2"/>
      </w:pPr>
      <w:r>
        <w:t xml:space="preserve">8. Release Approval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Signature</w:t>
            </w:r>
          </w:p>
        </w:tc>
        <w:tc>
          <w:tcPr/>
          <w:p>
            <w:pPr>
              <w:pStyle w:val="Compact"/>
            </w:pPr>
            <w:r>
              <w:t xml:space="preserve">Date</w:t>
            </w:r>
          </w:p>
        </w:tc>
      </w:tr>
      <w:tr>
        <w:tc>
          <w:tcPr/>
          <w:p>
            <w:pPr>
              <w:pStyle w:val="Compact"/>
            </w:pPr>
            <w:r>
              <w:t xml:space="preserve">Released by</w:t>
            </w:r>
          </w:p>
        </w:tc>
        <w:tc>
          <w:tcPr/>
          <w:p>
            <w:pPr>
              <w:pStyle w:val="Compact"/>
            </w:pPr>
            <w:r>
              <w:t xml:space="preserve">______________</w:t>
            </w:r>
          </w:p>
        </w:tc>
        <w:tc>
          <w:tcPr/>
          <w:p>
            <w:pPr>
              <w:pStyle w:val="Compact"/>
            </w:pPr>
            <w:r>
              <w:t xml:space="preserve">______________</w:t>
            </w:r>
          </w:p>
        </w:tc>
        <w:tc>
          <w:tcPr/>
          <w:p>
            <w:pPr>
              <w:pStyle w:val="Compact"/>
            </w:pPr>
            <w:r>
              <w:t xml:space="preserve">______________</w:t>
            </w:r>
          </w:p>
        </w:tc>
      </w:tr>
      <w:tr>
        <w:tc>
          <w:tcPr/>
          <w:p>
            <w:pPr>
              <w:pStyle w:val="Compact"/>
            </w:pPr>
            <w:r>
              <w:t xml:space="preserve">Quality reviewed by</w:t>
            </w:r>
          </w:p>
        </w:tc>
        <w:tc>
          <w:tcPr/>
          <w:p>
            <w:pPr>
              <w:pStyle w:val="Compact"/>
            </w:pPr>
            <w:r>
              <w:t xml:space="preserve">______________</w:t>
            </w:r>
          </w:p>
        </w:tc>
        <w:tc>
          <w:tcPr/>
          <w:p>
            <w:pPr>
              <w:pStyle w:val="Compact"/>
            </w:pPr>
            <w:r>
              <w:t xml:space="preserve">______________</w:t>
            </w:r>
          </w:p>
        </w:tc>
        <w:tc>
          <w:tcPr/>
          <w:p>
            <w:pPr>
              <w:pStyle w:val="Compact"/>
            </w:pPr>
            <w:r>
              <w:t xml:space="preserve">______________</w:t>
            </w:r>
          </w:p>
        </w:tc>
      </w:tr>
      <w:tr>
        <w:tc>
          <w:tcPr/>
          <w:p>
            <w:pPr>
              <w:pStyle w:val="Compact"/>
            </w:pPr>
            <w:r>
              <w:t xml:space="preserve">Clinical reviewed by</w:t>
            </w:r>
          </w:p>
        </w:tc>
        <w:tc>
          <w:tcPr/>
          <w:p>
            <w:pPr>
              <w:pStyle w:val="Compact"/>
            </w:pPr>
            <w:r>
              <w:t xml:space="preserve">______________</w:t>
            </w:r>
          </w:p>
        </w:tc>
        <w:tc>
          <w:tcPr/>
          <w:p>
            <w:pPr>
              <w:pStyle w:val="Compact"/>
            </w:pPr>
            <w:r>
              <w:t xml:space="preserve">______________</w:t>
            </w:r>
          </w:p>
        </w:tc>
        <w:tc>
          <w:tcPr/>
          <w:p>
            <w:pPr>
              <w:pStyle w:val="Compact"/>
            </w:pPr>
            <w:r>
              <w:t xml:space="preserve">______________</w:t>
            </w:r>
          </w:p>
        </w:tc>
      </w:tr>
    </w:tbl>
    <w:p>
      <w:pPr>
        <w:pStyle w:val="BodyText"/>
      </w:pPr>
      <w:r>
        <w:t xml:space="preserve">By signing this document, the approvers confirm that they have reviewed the release scope, known limitations, and SDLC verification checklist, and accept the release of CogAssess version 0.5.0-beta for supervised research use subject to the limitations stated in Section 5.</w:t>
      </w:r>
    </w:p>
    <w:p>
      <w:r>
        <w:pict>
          <v:rect style="width:0;height:1.5pt" o:hralign="center" o:hrstd="t" o:hr="t"/>
        </w:pict>
      </w:r>
    </w:p>
    <w:bookmarkEnd w:id="33"/>
    <w:bookmarkStart w:id="34" w:name="next-planned-version-v1.0-objectives"/>
    <w:p>
      <w:pPr>
        <w:pStyle w:val="Heading2"/>
      </w:pPr>
      <w:r>
        <w:t xml:space="preserve">9. Next Planned Version — v1.0 Objectives</w:t>
      </w:r>
    </w:p>
    <w:p>
      <w:pPr>
        <w:pStyle w:val="FirstParagraph"/>
      </w:pPr>
      <w:r>
        <w:t xml:space="preserve">The following objectives are targeted for CogAssess v1.0, at which point the software will be considered suitable for production deployment in a clinical research setting: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Objective</w:t>
            </w:r>
          </w:p>
        </w:tc>
        <w:tc>
          <w:tcPr/>
          <w:p>
            <w:pPr>
              <w:pStyle w:val="Compact"/>
            </w:pPr>
            <w:r>
              <w:t xml:space="preserve">Description</w:t>
            </w:r>
          </w:p>
        </w:tc>
      </w:tr>
      <w:tr>
        <w:tc>
          <w:tcPr/>
          <w:p>
            <w:pPr>
              <w:pStyle w:val="Compact"/>
            </w:pPr>
            <w:r>
              <w:t xml:space="preserve">Automated test suite</w:t>
            </w:r>
          </w:p>
        </w:tc>
        <w:tc>
          <w:tcPr/>
          <w:p>
            <w:pPr>
              <w:pStyle w:val="Compact"/>
            </w:pPr>
            <w:r>
              <w:t xml:space="preserve">Unit tests (pytest) and integration tests for all five pipeline stages and all API endpoints, achieving minimum 80% line coverage</w:t>
            </w:r>
          </w:p>
        </w:tc>
      </w:tr>
      <w:tr>
        <w:tc>
          <w:tcPr/>
          <w:p>
            <w:pPr>
              <w:pStyle w:val="Compact"/>
            </w:pPr>
            <w:r>
              <w:t xml:space="preserve">Clinical validation study</w:t>
            </w:r>
          </w:p>
        </w:tc>
        <w:tc>
          <w:tcPr/>
          <w:p>
            <w:pPr>
              <w:pStyle w:val="Compact"/>
            </w:pPr>
            <w:r>
              <w:t xml:space="preserve">Prospective study on a representative patient population to validate scoring algorithms and establish normative ranges per condition preset</w:t>
            </w:r>
          </w:p>
        </w:tc>
      </w:tr>
      <w:tr>
        <w:tc>
          <w:tcPr/>
          <w:p>
            <w:pPr>
              <w:pStyle w:val="Compact"/>
            </w:pPr>
            <w:r>
              <w:t xml:space="preserve">PostgreSQL migration</w:t>
            </w:r>
          </w:p>
        </w:tc>
        <w:tc>
          <w:tcPr/>
          <w:p>
            <w:pPr>
              <w:pStyle w:val="Compact"/>
            </w:pPr>
            <w:r>
              <w:t xml:space="preserve">Replace SQLite with PostgreSQL to support multi-clinician concurrent access and row-level locking</w:t>
            </w:r>
          </w:p>
        </w:tc>
      </w:tr>
      <w:tr>
        <w:tc>
          <w:tcPr/>
          <w:p>
            <w:pPr>
              <w:pStyle w:val="Compact"/>
            </w:pPr>
            <w:r>
              <w:t xml:space="preserve">Penetration testing</w:t>
            </w:r>
          </w:p>
        </w:tc>
        <w:tc>
          <w:tcPr/>
          <w:p>
            <w:pPr>
              <w:pStyle w:val="Compact"/>
            </w:pPr>
            <w:r>
              <w:t xml:space="preserve">Third-party penetration test of the API and authentication layer; all critical and high findings remediated before release</w:t>
            </w:r>
          </w:p>
        </w:tc>
      </w:tr>
      <w:tr>
        <w:tc>
          <w:tcPr/>
          <w:p>
            <w:pPr>
              <w:pStyle w:val="Compact"/>
            </w:pPr>
            <w:r>
              <w:t xml:space="preserve">Rate limiting</w:t>
            </w:r>
          </w:p>
        </w:tc>
        <w:tc>
          <w:tcPr/>
          <w:p>
            <w:pPr>
              <w:pStyle w:val="Compact"/>
            </w:pPr>
            <w:r>
              <w:t xml:space="preserve">Implement request rate limiting on</w:t>
            </w:r>
            <w:r>
              <w:t xml:space="preserve"> </w:t>
            </w:r>
            <w:r>
              <w:rPr>
                <w:rStyle w:val="VerbatimChar"/>
              </w:rPr>
              <w:t xml:space="preserve">/auth/login</w:t>
            </w:r>
            <w:r>
              <w:t xml:space="preserve"> </w:t>
            </w:r>
            <w:r>
              <w:t xml:space="preserve">and audio upload endpoints</w:t>
            </w:r>
          </w:p>
        </w:tc>
      </w:tr>
      <w:tr>
        <w:tc>
          <w:tcPr/>
          <w:p>
            <w:pPr>
              <w:pStyle w:val="Compact"/>
            </w:pPr>
            <w:r>
              <w:t xml:space="preserve">File size validation</w:t>
            </w:r>
          </w:p>
        </w:tc>
        <w:tc>
          <w:tcPr/>
          <w:p>
            <w:pPr>
              <w:pStyle w:val="Compact"/>
            </w:pPr>
            <w:r>
              <w:t xml:space="preserve">Enforce a maximum audio upload size (target: 25 MB) with appropriate error response</w:t>
            </w:r>
          </w:p>
        </w:tc>
      </w:tr>
      <w:tr>
        <w:tc>
          <w:tcPr/>
          <w:p>
            <w:pPr>
              <w:pStyle w:val="Compact"/>
            </w:pPr>
            <w:r>
              <w:t xml:space="preserve">HttpOnly cookie token storage</w:t>
            </w:r>
          </w:p>
        </w:tc>
        <w:tc>
          <w:tcPr/>
          <w:p>
            <w:pPr>
              <w:pStyle w:val="Compact"/>
            </w:pPr>
            <w:r>
              <w:t xml:space="preserve">Migrate JWT token from localStorage to HttpOnly cookies to mitigate XSS risk</w:t>
            </w:r>
          </w:p>
        </w:tc>
      </w:tr>
      <w:tr>
        <w:tc>
          <w:tcPr/>
          <w:p>
            <w:pPr>
              <w:pStyle w:val="Compact"/>
            </w:pPr>
            <w:r>
              <w:t xml:space="preserve">CORS restriction</w:t>
            </w:r>
          </w:p>
        </w:tc>
        <w:tc>
          <w:tcPr/>
          <w:p>
            <w:pPr>
              <w:pStyle w:val="Compact"/>
            </w:pPr>
            <w:r>
              <w:t xml:space="preserve">Restrict</w:t>
            </w:r>
            <w:r>
              <w:t xml:space="preserve"> </w:t>
            </w:r>
            <w:r>
              <w:rPr>
                <w:rStyle w:val="VerbatimChar"/>
              </w:rPr>
              <w:t xml:space="preserve">allow_origins</w:t>
            </w:r>
            <w:r>
              <w:t xml:space="preserve"> </w:t>
            </w:r>
            <w:r>
              <w:t xml:space="preserve">to specific deployment domain(s)</w:t>
            </w:r>
          </w:p>
        </w:tc>
      </w:tr>
      <w:tr>
        <w:tc>
          <w:tcPr/>
          <w:p>
            <w:pPr>
              <w:pStyle w:val="Compact"/>
            </w:pPr>
            <w:r>
              <w:t xml:space="preserve">Multilingual support assessment</w:t>
            </w:r>
          </w:p>
        </w:tc>
        <w:tc>
          <w:tcPr/>
          <w:p>
            <w:pPr>
              <w:pStyle w:val="Compact"/>
            </w:pPr>
            <w:r>
              <w:t xml:space="preserve">Evaluate options for non-English STT and emotion classification models</w:t>
            </w:r>
          </w:p>
        </w:tc>
      </w:tr>
      <w:tr>
        <w:tc>
          <w:tcPr/>
          <w:p>
            <w:pPr>
              <w:pStyle w:val="Compact"/>
            </w:pPr>
            <w:r>
              <w:t xml:space="preserve">Real-world pilot study</w:t>
            </w:r>
          </w:p>
        </w:tc>
        <w:tc>
          <w:tcPr/>
          <w:p>
            <w:pPr>
              <w:pStyle w:val="Compact"/>
            </w:pPr>
            <w:r>
              <w:t xml:space="preserve">Supervised deployment at a clinical research partner site with prospective data collection</w:t>
            </w:r>
          </w:p>
        </w:tc>
      </w:tr>
    </w:tbl>
    <w:p>
      <w:r>
        <w:pict>
          <v:rect style="width:0;height:1.5pt" o:hralign="center" o:hrstd="t" o:hr="t"/>
        </w:pict>
      </w:r>
    </w:p>
    <w:p>
      <w:pPr>
        <w:pStyle w:val="FirstParagraph"/>
      </w:pPr>
      <w:r>
        <w:rPr>
          <w:i/>
          <w:iCs/>
        </w:rPr>
        <w:t xml:space="preserve">End of CA-SRR-001</w:t>
      </w:r>
    </w:p>
    <w:p>
      <w:pPr>
        <w:pStyle w:val="BodyText"/>
      </w:pPr>
      <w:r>
        <w:rPr>
          <w:i/>
          <w:iCs/>
        </w:rPr>
        <w:t xml:space="preserve">Document controlled under the CogAssess SDLC documentation suite. For the current revision, refer to the GitHub repository at https://github.com/niamh888/cogassess.</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2026-06-05T22:27:12Z</dcterms:created>
  <dcterms:modified xsi:type="dcterms:W3CDTF">2026-06-05T22:27:12Z</dcterms:modified>
</cp:coreProperties>
</file>

<file path=docProps/custom.xml><?xml version="1.0" encoding="utf-8"?>
<Properties xmlns="http://schemas.openxmlformats.org/officeDocument/2006/custom-properties" xmlns:vt="http://schemas.openxmlformats.org/officeDocument/2006/docPropsVTypes"/>
</file>