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eastAsia="黑体"/>
          <w:b/>
          <w:color w:val="0B2545"/>
          <w:sz w:val="42"/>
        </w:rPr>
        <w:t>家庭电力消耗时间序列预测实验报告</w:t>
      </w:r>
    </w:p>
    <w:p>
      <w:pPr>
        <w:spacing w:after="240"/>
        <w:jc w:val="center"/>
      </w:pPr>
      <w:r>
        <w:rPr>
          <w:rFonts w:ascii="Calibri" w:hAnsi="Calibri" w:eastAsia="宋体"/>
          <w:sz w:val="22"/>
        </w:rPr>
        <w:t>专硕机器学习课程考核 - LSTM、Transformer 与 PVG-iTransformer</w:t>
      </w:r>
    </w:p>
    <w:p>
      <w:pPr>
        <w:pStyle w:val="Heading1"/>
      </w:pPr>
      <w:r>
        <w:t>摘要</w:t>
      </w:r>
    </w:p>
    <w:p>
      <w:pPr>
        <w:spacing w:after="120" w:line="264" w:lineRule="auto"/>
        <w:ind w:firstLine="440"/>
        <w:jc w:val="left"/>
      </w:pPr>
      <w:r>
        <w:rPr>
          <w:rFonts w:ascii="Calibri" w:hAnsi="Calibri" w:eastAsia="宋体"/>
          <w:sz w:val="22"/>
        </w:rPr>
        <w:t>本文按照《2026 年专硕机器学习课程项目》要求，完成家庭电力消耗多变量时间序列预测实验。实验使用 UCI Individual household electric power consumption 原始分钟级数据，并结合 data.gouv.fr 提供的 Meteo-France 92 省月度气象数据。预测目标为按天汇总后的 daily global_active_power，输入为过去 90 天的多变量历史序列，输出分别为未来 90 天短期预测曲线和未来 365 天长期预测曲线。本文实现并比较三类主模型：LSTM、标准 Transformer，以及受 PatchTST 和 iTransformer 启发设计的 PVG-iTransformer。三类主模型在 90 天和 365 天任务上分别独立训练，每种设置使用 5 个随机种子重复实验，并报告 MSE 与 MAE 的均值和标准差；此外补充 PVG-iTransformer 的三组消融实验，以检验时间 Patch 分支、变量分支和门控融合模块的贡献。</w:t>
      </w:r>
    </w:p>
    <w:p>
      <w:pPr>
        <w:spacing w:after="120" w:line="264" w:lineRule="auto"/>
        <w:ind w:firstLine="440"/>
        <w:jc w:val="left"/>
      </w:pPr>
      <w:r>
        <w:rPr>
          <w:rFonts w:ascii="Calibri" w:hAnsi="Calibri" w:eastAsia="宋体"/>
          <w:sz w:val="22"/>
        </w:rPr>
        <w:t>数据处理方面，本文先补齐完整 1 分钟时间索引，再对分钟级缺失值使用同月份内 t±7、t±14、t±21、t±28 天的同星期几、同分钟时刻观测值均值进行填补，然后按 PDF 要求聚合到日尺度。天气变量选用 SURESNES 气象站的 RR、NBJRR1、NBJRR5、NBJRR10 四个完整月度变量；PDF 中列出的 NBJBROU 因该站 48 个月中缺失 47 个月，未纳入主实验。实验采用 65/35 时间划分，并在测试阶段使用 rolling-origin evaluation。主模型比较显示，PVG-iTransformer 在 90 天和 365 天预测上均优于 LSTM 与标准 Transformer。消融实验进一步显示，变量分支贡献最明显，移除变量分支会显著增大误差；移除时间 Patch 分支后误差反而下降，说明当前小样本日度任务中变量 token 视角更稳定，时间 Patch 分支可能引入额外噪声。</w:t>
      </w:r>
    </w:p>
    <w:p>
      <w:pPr>
        <w:spacing w:after="80"/>
        <w:ind w:left="240"/>
      </w:pPr>
      <w:r>
        <w:rPr>
          <w:rFonts w:ascii="Calibri" w:hAnsi="Calibri" w:eastAsia="宋体"/>
          <w:color w:val="555555"/>
          <w:sz w:val="19"/>
        </w:rPr>
        <w:t>关键词：家庭电力消耗；多变量时间序列预测；LSTM；Transformer；PVG-iTransformer；rolling-origin evaluation</w:t>
      </w:r>
    </w:p>
    <w:p>
      <w:pPr>
        <w:pStyle w:val="Heading1"/>
      </w:pPr>
      <w:r>
        <w:t>1. 问题介绍</w:t>
      </w:r>
    </w:p>
    <w:p>
      <w:pPr>
        <w:pStyle w:val="Heading2"/>
      </w:pPr>
      <w:r>
        <w:t>1.1 课程任务与实际意义</w:t>
      </w:r>
    </w:p>
    <w:p>
      <w:pPr>
        <w:spacing w:after="120" w:line="264" w:lineRule="auto"/>
        <w:ind w:firstLine="440"/>
        <w:jc w:val="left"/>
      </w:pPr>
      <w:r>
        <w:rPr>
          <w:rFonts w:ascii="Calibri" w:hAnsi="Calibri" w:eastAsia="宋体"/>
          <w:sz w:val="22"/>
        </w:rPr>
        <w:t>家庭电力消耗预测是智能家居、能耗管理和电网调度中的典型应用。家庭用电受季节、工作日与周末行为、住户活动、用电设备、电压电流状态以及气象条件等多种因素影响，因此具有明显的多变量时间序列特征。准确预测未来每天的总有功功率，有助于居民理解自身用电行为，也可以为峰谷用电管理、异常用电识别和电网负荷调度提供参考。</w:t>
      </w:r>
    </w:p>
    <w:p>
      <w:pPr>
        <w:spacing w:after="120" w:line="264" w:lineRule="auto"/>
        <w:ind w:firstLine="440"/>
        <w:jc w:val="left"/>
      </w:pPr>
      <w:r>
        <w:rPr>
          <w:rFonts w:ascii="Calibri" w:hAnsi="Calibri" w:eastAsia="宋体"/>
          <w:sz w:val="22"/>
        </w:rPr>
        <w:t>课程 PDF 将任务定义为：基于过去 90 天的数据曲线，分别预测未来 90 天和未来 365 天的总有功功率变化曲线。其中未来 90 天属于短期预测，未来 365 天属于长期预测；两种预测长度需要分别训练，长期预测模型的参数不能用于短期预测。方法上分为三部分：第一部分使用 LSTM，第二部分使用 Transformer，第三部分使用自己提出的改进模型，且第三部分以原理的新颖程度为首要评价标准，性能为次要评价标准。</w:t>
      </w:r>
    </w:p>
    <w:tbl>
      <w:tblPr>
        <w:tblStyle w:val="TableGrid"/>
        <w:tblW w:type="auto" w:w="0"/>
        <w:jc w:val="center"/>
        <w:tblLook w:firstColumn="1" w:firstRow="1" w:lastColumn="0" w:lastRow="0" w:noHBand="0" w:noVBand="1" w:val="04A0"/>
      </w:tblPr>
      <w:tblGrid>
        <w:gridCol w:w="4680"/>
        <w:gridCol w:w="4680"/>
      </w:tblGrid>
      <w:tr>
        <w:tc>
          <w:tcPr>
            <w:tcW w:type="dxa" w:w="2376"/>
            <w:vAlign w:val="center"/>
            <w:shd w:fill="F2F4F7"/>
          </w:tcPr>
          <w:p>
            <w:pPr>
              <w:spacing w:after="0"/>
              <w:jc w:val="center"/>
            </w:pPr>
            <w:r/>
            <w:r>
              <w:rPr>
                <w:rFonts w:ascii="Calibri" w:hAnsi="Calibri" w:eastAsia="宋体"/>
                <w:b/>
                <w:sz w:val="18"/>
              </w:rPr>
              <w:t>PDF 要求</w:t>
            </w:r>
          </w:p>
        </w:tc>
        <w:tc>
          <w:tcPr>
            <w:tcW w:type="dxa" w:w="6984"/>
            <w:vAlign w:val="center"/>
            <w:shd w:fill="F2F4F7"/>
          </w:tcPr>
          <w:p>
            <w:pPr>
              <w:spacing w:after="0"/>
              <w:jc w:val="center"/>
            </w:pPr>
            <w:r/>
            <w:r>
              <w:rPr>
                <w:rFonts w:ascii="Calibri" w:hAnsi="Calibri" w:eastAsia="宋体"/>
                <w:b/>
                <w:sz w:val="18"/>
              </w:rPr>
              <w:t>本文实现方式</w:t>
            </w:r>
          </w:p>
        </w:tc>
      </w:tr>
      <w:tr>
        <w:tc>
          <w:tcPr>
            <w:tcW w:type="dxa" w:w="2376"/>
            <w:vAlign w:val="center"/>
          </w:tcPr>
          <w:p>
            <w:pPr>
              <w:spacing w:after="0"/>
              <w:jc w:val="left"/>
            </w:pPr>
            <w:r/>
            <w:r>
              <w:rPr>
                <w:rFonts w:ascii="Calibri" w:hAnsi="Calibri" w:eastAsia="宋体"/>
                <w:b w:val="0"/>
                <w:sz w:val="18"/>
              </w:rPr>
              <w:t>报告结构</w:t>
            </w:r>
          </w:p>
        </w:tc>
        <w:tc>
          <w:tcPr>
            <w:tcW w:type="dxa" w:w="6984"/>
            <w:vAlign w:val="center"/>
          </w:tcPr>
          <w:p>
            <w:pPr>
              <w:spacing w:after="0"/>
              <w:jc w:val="left"/>
            </w:pPr>
            <w:r/>
            <w:r>
              <w:rPr>
                <w:rFonts w:ascii="Calibri" w:hAnsi="Calibri" w:eastAsia="宋体"/>
                <w:b w:val="0"/>
                <w:sz w:val="18"/>
              </w:rPr>
              <w:t>按问题介绍、模型、结果与分析、讨论四部分组织，并补充摘要和参考文献</w:t>
            </w:r>
          </w:p>
        </w:tc>
      </w:tr>
      <w:tr>
        <w:tc>
          <w:tcPr>
            <w:tcW w:type="dxa" w:w="2376"/>
            <w:vAlign w:val="center"/>
          </w:tcPr>
          <w:p>
            <w:pPr>
              <w:spacing w:after="0"/>
              <w:jc w:val="left"/>
            </w:pPr>
            <w:r/>
            <w:r>
              <w:rPr>
                <w:rFonts w:ascii="Calibri" w:hAnsi="Calibri" w:eastAsia="宋体"/>
                <w:b w:val="0"/>
                <w:sz w:val="18"/>
              </w:rPr>
              <w:t>预测任务</w:t>
            </w:r>
          </w:p>
        </w:tc>
        <w:tc>
          <w:tcPr>
            <w:tcW w:type="dxa" w:w="6984"/>
            <w:vAlign w:val="center"/>
          </w:tcPr>
          <w:p>
            <w:pPr>
              <w:spacing w:after="0"/>
              <w:jc w:val="left"/>
            </w:pPr>
            <w:r/>
            <w:r>
              <w:rPr>
                <w:rFonts w:ascii="Calibri" w:hAnsi="Calibri" w:eastAsia="宋体"/>
                <w:b w:val="0"/>
                <w:sz w:val="18"/>
              </w:rPr>
              <w:t>过去 90 天输入，分别预测未来 90 天和未来 365 天 daily global_active_power</w:t>
            </w:r>
          </w:p>
        </w:tc>
      </w:tr>
      <w:tr>
        <w:tc>
          <w:tcPr>
            <w:tcW w:type="dxa" w:w="2376"/>
            <w:vAlign w:val="center"/>
          </w:tcPr>
          <w:p>
            <w:pPr>
              <w:spacing w:after="0"/>
              <w:jc w:val="left"/>
            </w:pPr>
            <w:r/>
            <w:r>
              <w:rPr>
                <w:rFonts w:ascii="Calibri" w:hAnsi="Calibri" w:eastAsia="宋体"/>
                <w:b w:val="0"/>
                <w:sz w:val="18"/>
              </w:rPr>
              <w:t>三种方法</w:t>
            </w:r>
          </w:p>
        </w:tc>
        <w:tc>
          <w:tcPr>
            <w:tcW w:type="dxa" w:w="6984"/>
            <w:vAlign w:val="center"/>
          </w:tcPr>
          <w:p>
            <w:pPr>
              <w:spacing w:after="0"/>
              <w:jc w:val="left"/>
            </w:pPr>
            <w:r/>
            <w:r>
              <w:rPr>
                <w:rFonts w:ascii="Calibri" w:hAnsi="Calibri" w:eastAsia="宋体"/>
                <w:b w:val="0"/>
                <w:sz w:val="18"/>
              </w:rPr>
              <w:t>LSTM、Transformer、PVG-iTransformer 三类主模型完整实现和比较</w:t>
            </w:r>
          </w:p>
        </w:tc>
      </w:tr>
      <w:tr>
        <w:tc>
          <w:tcPr>
            <w:tcW w:type="dxa" w:w="2376"/>
            <w:vAlign w:val="center"/>
          </w:tcPr>
          <w:p>
            <w:pPr>
              <w:spacing w:after="0"/>
              <w:jc w:val="left"/>
            </w:pPr>
            <w:r/>
            <w:r>
              <w:rPr>
                <w:rFonts w:ascii="Calibri" w:hAnsi="Calibri" w:eastAsia="宋体"/>
                <w:b w:val="0"/>
                <w:sz w:val="18"/>
              </w:rPr>
              <w:t>消融实验</w:t>
            </w:r>
          </w:p>
        </w:tc>
        <w:tc>
          <w:tcPr>
            <w:tcW w:type="dxa" w:w="6984"/>
            <w:vAlign w:val="center"/>
          </w:tcPr>
          <w:p>
            <w:pPr>
              <w:spacing w:after="0"/>
              <w:jc w:val="left"/>
            </w:pPr>
            <w:r/>
            <w:r>
              <w:rPr>
                <w:rFonts w:ascii="Calibri" w:hAnsi="Calibri" w:eastAsia="宋体"/>
                <w:b w:val="0"/>
                <w:sz w:val="18"/>
              </w:rPr>
              <w:t>补充移除时间 Patch 分支、变量分支和门控模块的三组 PVG 变体实验</w:t>
            </w:r>
          </w:p>
        </w:tc>
      </w:tr>
      <w:tr>
        <w:tc>
          <w:tcPr>
            <w:tcW w:type="dxa" w:w="2376"/>
            <w:vAlign w:val="center"/>
          </w:tcPr>
          <w:p>
            <w:pPr>
              <w:spacing w:after="0"/>
              <w:jc w:val="left"/>
            </w:pPr>
            <w:r/>
            <w:r>
              <w:rPr>
                <w:rFonts w:ascii="Calibri" w:hAnsi="Calibri" w:eastAsia="宋体"/>
                <w:b w:val="0"/>
                <w:sz w:val="18"/>
              </w:rPr>
              <w:t>独立训练</w:t>
            </w:r>
          </w:p>
        </w:tc>
        <w:tc>
          <w:tcPr>
            <w:tcW w:type="dxa" w:w="6984"/>
            <w:vAlign w:val="center"/>
          </w:tcPr>
          <w:p>
            <w:pPr>
              <w:spacing w:after="0"/>
              <w:jc w:val="left"/>
            </w:pPr>
            <w:r/>
            <w:r>
              <w:rPr>
                <w:rFonts w:ascii="Calibri" w:hAnsi="Calibri" w:eastAsia="宋体"/>
                <w:b w:val="0"/>
                <w:sz w:val="18"/>
              </w:rPr>
              <w:t>90 天与 365 天分别构造数据窗口并独立训练模型，参数不共享</w:t>
            </w:r>
          </w:p>
        </w:tc>
      </w:tr>
      <w:tr>
        <w:tc>
          <w:tcPr>
            <w:tcW w:type="dxa" w:w="2376"/>
            <w:vAlign w:val="center"/>
          </w:tcPr>
          <w:p>
            <w:pPr>
              <w:spacing w:after="0"/>
              <w:jc w:val="left"/>
            </w:pPr>
            <w:r/>
            <w:r>
              <w:rPr>
                <w:rFonts w:ascii="Calibri" w:hAnsi="Calibri" w:eastAsia="宋体"/>
                <w:b w:val="0"/>
                <w:sz w:val="18"/>
              </w:rPr>
              <w:t>评价指标</w:t>
            </w:r>
          </w:p>
        </w:tc>
        <w:tc>
          <w:tcPr>
            <w:tcW w:type="dxa" w:w="6984"/>
            <w:vAlign w:val="center"/>
          </w:tcPr>
          <w:p>
            <w:pPr>
              <w:spacing w:after="0"/>
              <w:jc w:val="left"/>
            </w:pPr>
            <w:r/>
            <w:r>
              <w:rPr>
                <w:rFonts w:ascii="Calibri" w:hAnsi="Calibri" w:eastAsia="宋体"/>
                <w:b w:val="0"/>
                <w:sz w:val="18"/>
              </w:rPr>
              <w:t>使用 MSE 与 MAE，在原始 daily sum 尺度计算误差</w:t>
            </w:r>
          </w:p>
        </w:tc>
      </w:tr>
      <w:tr>
        <w:tc>
          <w:tcPr>
            <w:tcW w:type="dxa" w:w="2376"/>
            <w:vAlign w:val="center"/>
          </w:tcPr>
          <w:p>
            <w:pPr>
              <w:spacing w:after="0"/>
              <w:jc w:val="left"/>
            </w:pPr>
            <w:r/>
            <w:r>
              <w:rPr>
                <w:rFonts w:ascii="Calibri" w:hAnsi="Calibri" w:eastAsia="宋体"/>
                <w:b w:val="0"/>
                <w:sz w:val="18"/>
              </w:rPr>
              <w:t>重复实验</w:t>
            </w:r>
          </w:p>
        </w:tc>
        <w:tc>
          <w:tcPr>
            <w:tcW w:type="dxa" w:w="6984"/>
            <w:vAlign w:val="center"/>
          </w:tcPr>
          <w:p>
            <w:pPr>
              <w:spacing w:after="0"/>
              <w:jc w:val="left"/>
            </w:pPr>
            <w:r/>
            <w:r>
              <w:rPr>
                <w:rFonts w:ascii="Calibri" w:hAnsi="Calibri" w:eastAsia="宋体"/>
                <w:b w:val="0"/>
                <w:sz w:val="18"/>
              </w:rPr>
              <w:t>每个模型、每个 horizon 使用 seeds 42-46 共 5 轮实验，报告均值和 std</w:t>
            </w:r>
          </w:p>
        </w:tc>
      </w:tr>
      <w:tr>
        <w:tc>
          <w:tcPr>
            <w:tcW w:type="dxa" w:w="2376"/>
            <w:vAlign w:val="center"/>
          </w:tcPr>
          <w:p>
            <w:pPr>
              <w:spacing w:after="0"/>
              <w:jc w:val="left"/>
            </w:pPr>
            <w:r/>
            <w:r>
              <w:rPr>
                <w:rFonts w:ascii="Calibri" w:hAnsi="Calibri" w:eastAsia="宋体"/>
                <w:b w:val="0"/>
                <w:sz w:val="18"/>
              </w:rPr>
              <w:t>结果截图</w:t>
            </w:r>
          </w:p>
        </w:tc>
        <w:tc>
          <w:tcPr>
            <w:tcW w:type="dxa" w:w="6984"/>
            <w:vAlign w:val="center"/>
          </w:tcPr>
          <w:p>
            <w:pPr>
              <w:spacing w:after="0"/>
              <w:jc w:val="left"/>
            </w:pPr>
            <w:r/>
            <w:r>
              <w:rPr>
                <w:rFonts w:ascii="Calibri" w:hAnsi="Calibri" w:eastAsia="宋体"/>
                <w:b w:val="0"/>
                <w:sz w:val="18"/>
              </w:rPr>
              <w:t>报告中贴入结果表截图和 power/Ground Truth 曲线对比图</w:t>
            </w:r>
          </w:p>
        </w:tc>
      </w:tr>
      <w:tr>
        <w:tc>
          <w:tcPr>
            <w:tcW w:type="dxa" w:w="2376"/>
            <w:vAlign w:val="center"/>
          </w:tcPr>
          <w:p>
            <w:pPr>
              <w:spacing w:after="0"/>
              <w:jc w:val="left"/>
            </w:pPr>
            <w:r/>
            <w:r>
              <w:rPr>
                <w:rFonts w:ascii="Calibri" w:hAnsi="Calibri" w:eastAsia="宋体"/>
                <w:b w:val="0"/>
                <w:sz w:val="18"/>
              </w:rPr>
              <w:t>参考文献</w:t>
            </w:r>
          </w:p>
        </w:tc>
        <w:tc>
          <w:tcPr>
            <w:tcW w:type="dxa" w:w="6984"/>
            <w:vAlign w:val="center"/>
          </w:tcPr>
          <w:p>
            <w:pPr>
              <w:spacing w:after="0"/>
              <w:jc w:val="left"/>
            </w:pPr>
            <w:r/>
            <w:r>
              <w:rPr>
                <w:rFonts w:ascii="Calibri" w:hAnsi="Calibri" w:eastAsia="宋体"/>
                <w:b w:val="0"/>
                <w:sz w:val="18"/>
              </w:rPr>
              <w:t>列出 UCI、Meteo-France、LSTM、Transformer、PatchTST、iTransformer 等文献</w:t>
            </w:r>
          </w:p>
        </w:tc>
      </w:tr>
      <w:tr>
        <w:tc>
          <w:tcPr>
            <w:tcW w:type="dxa" w:w="2376"/>
            <w:vAlign w:val="center"/>
          </w:tcPr>
          <w:p>
            <w:pPr>
              <w:spacing w:after="0"/>
              <w:jc w:val="left"/>
            </w:pPr>
            <w:r/>
            <w:r>
              <w:rPr>
                <w:rFonts w:ascii="Calibri" w:hAnsi="Calibri" w:eastAsia="宋体"/>
                <w:b w:val="0"/>
                <w:sz w:val="18"/>
              </w:rPr>
              <w:t>代码提交</w:t>
            </w:r>
          </w:p>
        </w:tc>
        <w:tc>
          <w:tcPr>
            <w:tcW w:type="dxa" w:w="6984"/>
            <w:vAlign w:val="center"/>
          </w:tcPr>
          <w:p>
            <w:pPr>
              <w:spacing w:after="0"/>
              <w:jc w:val="left"/>
            </w:pPr>
            <w:r/>
            <w:r>
              <w:rPr>
                <w:rFonts w:ascii="Calibri" w:hAnsi="Calibri" w:eastAsia="宋体"/>
                <w:b w:val="0"/>
                <w:sz w:val="18"/>
              </w:rPr>
              <w:t>代码目录已整理，正式提交前需将目录上传 GitHub 并替换报告中的链接占位</w:t>
            </w:r>
          </w:p>
        </w:tc>
      </w:tr>
    </w:tbl>
    <w:p>
      <w:pPr>
        <w:spacing w:after="160"/>
        <w:jc w:val="center"/>
      </w:pPr>
      <w:r>
        <w:rPr>
          <w:rFonts w:ascii="Calibri" w:hAnsi="Calibri" w:eastAsia="宋体"/>
          <w:sz w:val="18"/>
        </w:rPr>
        <w:t>表 1 PDF 要求与本文实现对应关系</w:t>
      </w:r>
    </w:p>
    <w:p>
      <w:pPr>
        <w:pStyle w:val="Heading2"/>
      </w:pPr>
      <w:r>
        <w:t>1.2 数据来源与变量说明</w:t>
      </w:r>
    </w:p>
    <w:p>
      <w:pPr>
        <w:spacing w:after="120" w:line="264" w:lineRule="auto"/>
        <w:ind w:firstLine="440"/>
        <w:jc w:val="left"/>
      </w:pPr>
      <w:r>
        <w:rPr>
          <w:rFonts w:ascii="Calibri" w:hAnsi="Calibri" w:eastAsia="宋体"/>
          <w:sz w:val="22"/>
        </w:rPr>
        <w:t>原始电力数据来自 UCI Machine Learning Repository 的 Individual household electric power consumption 数据集，记录法国一户家庭从 2006 年 12 月到 2010 年 11 月的分钟级用电信息。原始字段包括 global_active_power、global_reactive_power、voltage、global_intensity、sub_metering_1、sub_metering_2 和 sub_metering_3。根据 PDF 提示，还可以由总有功功率和三个分表能耗计算剩余能耗 sub_metering_remainder。</w:t>
      </w:r>
    </w:p>
    <w:p>
      <w:pPr>
        <w:spacing w:after="120" w:line="264" w:lineRule="auto"/>
        <w:ind w:firstLine="440"/>
        <w:jc w:val="left"/>
      </w:pPr>
      <w:r>
        <w:rPr>
          <w:rFonts w:ascii="Calibri" w:hAnsi="Calibri" w:eastAsia="宋体"/>
          <w:sz w:val="22"/>
        </w:rPr>
        <w:t>天气数据来自 data.gouv.fr 的 Meteo-France 月度基础气候数据。考虑到 UCI 数据为法国 Hauts-de-Seine 区域家庭，本文下载 92 省月度文件，并在站点层面检查缺失情况。最终选择 SURESNES 站点，编号 NUM_POSTE=92073001，经纬度约为 48.871333, 2.235333，与家庭所在地近似距离约 11.1 km。该站在实验所需的 48 个月内 RR、NBJRR1、NBJRR5、NBJRR10 均无缺失。RR 原始单位为毫米的十分之一，按 PDF 说明除以 10 后使用。</w:t>
      </w:r>
    </w:p>
    <w:p>
      <w:pPr>
        <w:pStyle w:val="Heading2"/>
      </w:pPr>
      <w:r>
        <w:t>1.3 数据划分与可复现环境</w:t>
      </w:r>
    </w:p>
    <w:p>
      <w:pPr>
        <w:spacing w:after="120" w:line="264" w:lineRule="auto"/>
        <w:ind w:firstLine="440"/>
        <w:jc w:val="left"/>
      </w:pPr>
      <w:r>
        <w:rPr>
          <w:rFonts w:ascii="Calibri" w:hAnsi="Calibri" w:eastAsia="宋体"/>
          <w:sz w:val="22"/>
        </w:rPr>
        <w:t>课程 PDF 提到数据集主要分为 train 和 test 两部分，具体见 train.csv 和 tes.csv。由于远端目录中未发现课程额外提供的 train.csv 与 tes.csv，本文从 PDF 指定的公开 UCI 数据源自动下载原始数据，并按时间顺序构造 65/35 的训练/测试划分。最终日度数据共 1440 天，时间范围为 2006-12-17 至 2010-11-25；训练段为 2006-12-17 至 2009-07-09，测试段为 2009-07-10 至 2010-11-25。</w:t>
      </w:r>
    </w:p>
    <w:tbl>
      <w:tblPr>
        <w:tblStyle w:val="TableGrid"/>
        <w:tblW w:type="auto" w:w="0"/>
        <w:jc w:val="center"/>
        <w:tblLook w:firstColumn="1" w:firstRow="1" w:lastColumn="0" w:lastRow="0" w:noHBand="0" w:noVBand="1" w:val="04A0"/>
      </w:tblPr>
      <w:tblGrid>
        <w:gridCol w:w="4680"/>
        <w:gridCol w:w="4680"/>
      </w:tblGrid>
      <w:tr>
        <w:tc>
          <w:tcPr>
            <w:tcW w:type="dxa" w:w="2448"/>
            <w:vAlign w:val="center"/>
            <w:shd w:fill="F2F4F7"/>
          </w:tcPr>
          <w:p>
            <w:pPr>
              <w:spacing w:after="0"/>
              <w:jc w:val="center"/>
            </w:pPr>
            <w:r/>
            <w:r>
              <w:rPr>
                <w:rFonts w:ascii="Calibri" w:hAnsi="Calibri" w:eastAsia="宋体"/>
                <w:b/>
                <w:sz w:val="18"/>
              </w:rPr>
              <w:t>项目</w:t>
            </w:r>
          </w:p>
        </w:tc>
        <w:tc>
          <w:tcPr>
            <w:tcW w:type="dxa" w:w="6912"/>
            <w:vAlign w:val="center"/>
            <w:shd w:fill="F2F4F7"/>
          </w:tcPr>
          <w:p>
            <w:pPr>
              <w:spacing w:after="0"/>
              <w:jc w:val="center"/>
            </w:pPr>
            <w:r/>
            <w:r>
              <w:rPr>
                <w:rFonts w:ascii="Calibri" w:hAnsi="Calibri" w:eastAsia="宋体"/>
                <w:b/>
                <w:sz w:val="18"/>
              </w:rPr>
              <w:t>数值或说明</w:t>
            </w:r>
          </w:p>
        </w:tc>
      </w:tr>
      <w:tr>
        <w:tc>
          <w:tcPr>
            <w:tcW w:type="dxa" w:w="2448"/>
            <w:vAlign w:val="center"/>
          </w:tcPr>
          <w:p>
            <w:pPr>
              <w:spacing w:after="0"/>
              <w:jc w:val="center"/>
            </w:pPr>
            <w:r/>
            <w:r>
              <w:rPr>
                <w:rFonts w:ascii="Calibri" w:hAnsi="Calibri" w:eastAsia="宋体"/>
                <w:b w:val="0"/>
                <w:sz w:val="18"/>
              </w:rPr>
              <w:t>工作目录</w:t>
            </w:r>
          </w:p>
        </w:tc>
        <w:tc>
          <w:tcPr>
            <w:tcW w:type="dxa" w:w="6912"/>
            <w:vAlign w:val="center"/>
          </w:tcPr>
          <w:p>
            <w:pPr>
              <w:spacing w:after="0"/>
              <w:jc w:val="left"/>
            </w:pPr>
            <w:r/>
            <w:r>
              <w:rPr>
                <w:rFonts w:ascii="Calibri" w:hAnsi="Calibri" w:eastAsia="宋体"/>
                <w:b w:val="0"/>
                <w:sz w:val="18"/>
              </w:rPr>
              <w:t>/mnt/sdc/zoujunjie/mlearn_power_coursework</w:t>
            </w:r>
          </w:p>
        </w:tc>
      </w:tr>
      <w:tr>
        <w:tc>
          <w:tcPr>
            <w:tcW w:type="dxa" w:w="2448"/>
            <w:vAlign w:val="center"/>
          </w:tcPr>
          <w:p>
            <w:pPr>
              <w:spacing w:after="0"/>
              <w:jc w:val="center"/>
            </w:pPr>
            <w:r/>
            <w:r>
              <w:rPr>
                <w:rFonts w:ascii="Calibri" w:hAnsi="Calibri" w:eastAsia="宋体"/>
                <w:b w:val="0"/>
                <w:sz w:val="18"/>
              </w:rPr>
              <w:t>Python 环境</w:t>
            </w:r>
          </w:p>
        </w:tc>
        <w:tc>
          <w:tcPr>
            <w:tcW w:type="dxa" w:w="6912"/>
            <w:vAlign w:val="center"/>
          </w:tcPr>
          <w:p>
            <w:pPr>
              <w:spacing w:after="0"/>
              <w:jc w:val="left"/>
            </w:pPr>
            <w:r/>
            <w:r>
              <w:rPr>
                <w:rFonts w:ascii="Calibri" w:hAnsi="Calibri" w:eastAsia="宋体"/>
                <w:b w:val="0"/>
                <w:sz w:val="18"/>
              </w:rPr>
              <w:t>/mnt/sdc/zoujunjie/miniconda3/envs/mlearn</w:t>
            </w:r>
          </w:p>
        </w:tc>
      </w:tr>
      <w:tr>
        <w:tc>
          <w:tcPr>
            <w:tcW w:type="dxa" w:w="2448"/>
            <w:vAlign w:val="center"/>
          </w:tcPr>
          <w:p>
            <w:pPr>
              <w:spacing w:after="0"/>
              <w:jc w:val="center"/>
            </w:pPr>
            <w:r/>
            <w:r>
              <w:rPr>
                <w:rFonts w:ascii="Calibri" w:hAnsi="Calibri" w:eastAsia="宋体"/>
                <w:b w:val="0"/>
                <w:sz w:val="18"/>
              </w:rPr>
              <w:t>PyTorch 版本</w:t>
            </w:r>
          </w:p>
        </w:tc>
        <w:tc>
          <w:tcPr>
            <w:tcW w:type="dxa" w:w="6912"/>
            <w:vAlign w:val="center"/>
          </w:tcPr>
          <w:p>
            <w:pPr>
              <w:spacing w:after="0"/>
              <w:jc w:val="left"/>
            </w:pPr>
            <w:r/>
            <w:r>
              <w:rPr>
                <w:rFonts w:ascii="Calibri" w:hAnsi="Calibri" w:eastAsia="宋体"/>
                <w:b w:val="0"/>
                <w:sz w:val="18"/>
              </w:rPr>
              <w:t>2.4.1+cu118</w:t>
            </w:r>
          </w:p>
        </w:tc>
      </w:tr>
      <w:tr>
        <w:tc>
          <w:tcPr>
            <w:tcW w:type="dxa" w:w="2448"/>
            <w:vAlign w:val="center"/>
          </w:tcPr>
          <w:p>
            <w:pPr>
              <w:spacing w:after="0"/>
              <w:jc w:val="center"/>
            </w:pPr>
            <w:r/>
            <w:r>
              <w:rPr>
                <w:rFonts w:ascii="Calibri" w:hAnsi="Calibri" w:eastAsia="宋体"/>
                <w:b w:val="0"/>
                <w:sz w:val="18"/>
              </w:rPr>
              <w:t>训练设备</w:t>
            </w:r>
          </w:p>
        </w:tc>
        <w:tc>
          <w:tcPr>
            <w:tcW w:type="dxa" w:w="6912"/>
            <w:vAlign w:val="center"/>
          </w:tcPr>
          <w:p>
            <w:pPr>
              <w:spacing w:after="0"/>
              <w:jc w:val="left"/>
            </w:pPr>
            <w:r/>
            <w:r>
              <w:rPr>
                <w:rFonts w:ascii="Calibri" w:hAnsi="Calibri" w:eastAsia="宋体"/>
                <w:b w:val="0"/>
                <w:sz w:val="18"/>
              </w:rPr>
              <w:t>cuda</w:t>
            </w:r>
          </w:p>
        </w:tc>
      </w:tr>
      <w:tr>
        <w:tc>
          <w:tcPr>
            <w:tcW w:type="dxa" w:w="2448"/>
            <w:vAlign w:val="center"/>
          </w:tcPr>
          <w:p>
            <w:pPr>
              <w:spacing w:after="0"/>
              <w:jc w:val="center"/>
            </w:pPr>
            <w:r/>
            <w:r>
              <w:rPr>
                <w:rFonts w:ascii="Calibri" w:hAnsi="Calibri" w:eastAsia="宋体"/>
                <w:b w:val="0"/>
                <w:sz w:val="18"/>
              </w:rPr>
              <w:t>日度样本数</w:t>
            </w:r>
          </w:p>
        </w:tc>
        <w:tc>
          <w:tcPr>
            <w:tcW w:type="dxa" w:w="6912"/>
            <w:vAlign w:val="center"/>
          </w:tcPr>
          <w:p>
            <w:pPr>
              <w:spacing w:after="0"/>
              <w:jc w:val="left"/>
            </w:pPr>
            <w:r/>
            <w:r>
              <w:rPr>
                <w:rFonts w:ascii="Calibri" w:hAnsi="Calibri" w:eastAsia="宋体"/>
                <w:b w:val="0"/>
                <w:sz w:val="18"/>
              </w:rPr>
              <w:t>1440</w:t>
            </w:r>
          </w:p>
        </w:tc>
      </w:tr>
      <w:tr>
        <w:tc>
          <w:tcPr>
            <w:tcW w:type="dxa" w:w="2448"/>
            <w:vAlign w:val="center"/>
          </w:tcPr>
          <w:p>
            <w:pPr>
              <w:spacing w:after="0"/>
              <w:jc w:val="center"/>
            </w:pPr>
            <w:r/>
            <w:r>
              <w:rPr>
                <w:rFonts w:ascii="Calibri" w:hAnsi="Calibri" w:eastAsia="宋体"/>
                <w:b w:val="0"/>
                <w:sz w:val="18"/>
              </w:rPr>
              <w:t>训练/测试比例</w:t>
            </w:r>
          </w:p>
        </w:tc>
        <w:tc>
          <w:tcPr>
            <w:tcW w:type="dxa" w:w="6912"/>
            <w:vAlign w:val="center"/>
          </w:tcPr>
          <w:p>
            <w:pPr>
              <w:spacing w:after="0"/>
              <w:jc w:val="left"/>
            </w:pPr>
            <w:r/>
            <w:r>
              <w:rPr>
                <w:rFonts w:ascii="Calibri" w:hAnsi="Calibri" w:eastAsia="宋体"/>
                <w:b w:val="0"/>
                <w:sz w:val="18"/>
              </w:rPr>
              <w:t>65% / 35%，按时间顺序切分</w:t>
            </w:r>
          </w:p>
        </w:tc>
      </w:tr>
      <w:tr>
        <w:tc>
          <w:tcPr>
            <w:tcW w:type="dxa" w:w="2448"/>
            <w:vAlign w:val="center"/>
          </w:tcPr>
          <w:p>
            <w:pPr>
              <w:spacing w:after="0"/>
              <w:jc w:val="center"/>
            </w:pPr>
            <w:r/>
            <w:r>
              <w:rPr>
                <w:rFonts w:ascii="Calibri" w:hAnsi="Calibri" w:eastAsia="宋体"/>
                <w:b w:val="0"/>
                <w:sz w:val="18"/>
              </w:rPr>
              <w:t>训练日期</w:t>
            </w:r>
          </w:p>
        </w:tc>
        <w:tc>
          <w:tcPr>
            <w:tcW w:type="dxa" w:w="6912"/>
            <w:vAlign w:val="center"/>
          </w:tcPr>
          <w:p>
            <w:pPr>
              <w:spacing w:after="0"/>
              <w:jc w:val="left"/>
            </w:pPr>
            <w:r/>
            <w:r>
              <w:rPr>
                <w:rFonts w:ascii="Calibri" w:hAnsi="Calibri" w:eastAsia="宋体"/>
                <w:b w:val="0"/>
                <w:sz w:val="18"/>
              </w:rPr>
              <w:t>2006-12-17 至 2009-07-09</w:t>
            </w:r>
          </w:p>
        </w:tc>
      </w:tr>
      <w:tr>
        <w:tc>
          <w:tcPr>
            <w:tcW w:type="dxa" w:w="2448"/>
            <w:vAlign w:val="center"/>
          </w:tcPr>
          <w:p>
            <w:pPr>
              <w:spacing w:after="0"/>
              <w:jc w:val="center"/>
            </w:pPr>
            <w:r/>
            <w:r>
              <w:rPr>
                <w:rFonts w:ascii="Calibri" w:hAnsi="Calibri" w:eastAsia="宋体"/>
                <w:b w:val="0"/>
                <w:sz w:val="18"/>
              </w:rPr>
              <w:t>测试日期</w:t>
            </w:r>
          </w:p>
        </w:tc>
        <w:tc>
          <w:tcPr>
            <w:tcW w:type="dxa" w:w="6912"/>
            <w:vAlign w:val="center"/>
          </w:tcPr>
          <w:p>
            <w:pPr>
              <w:spacing w:after="0"/>
              <w:jc w:val="left"/>
            </w:pPr>
            <w:r/>
            <w:r>
              <w:rPr>
                <w:rFonts w:ascii="Calibri" w:hAnsi="Calibri" w:eastAsia="宋体"/>
                <w:b w:val="0"/>
                <w:sz w:val="18"/>
              </w:rPr>
              <w:t>2009-07-10 至 2010-11-25</w:t>
            </w:r>
          </w:p>
        </w:tc>
      </w:tr>
    </w:tbl>
    <w:p>
      <w:pPr>
        <w:spacing w:after="160"/>
        <w:jc w:val="center"/>
      </w:pPr>
      <w:r>
        <w:rPr>
          <w:rFonts w:ascii="Calibri" w:hAnsi="Calibri" w:eastAsia="宋体"/>
          <w:sz w:val="18"/>
        </w:rPr>
        <w:t>表 2 数据划分与实验环境</w:t>
      </w:r>
    </w:p>
    <w:p>
      <w:pPr>
        <w:pStyle w:val="Heading1"/>
      </w:pPr>
      <w:r>
        <w:t>2. 模型</w:t>
      </w:r>
    </w:p>
    <w:p>
      <w:pPr>
        <w:pStyle w:val="Heading2"/>
      </w:pPr>
      <w:r>
        <w:t>2.1 数据处理与监督样本构造</w:t>
      </w:r>
    </w:p>
    <w:p>
      <w:pPr>
        <w:spacing w:after="120" w:line="264" w:lineRule="auto"/>
        <w:ind w:firstLine="440"/>
        <w:jc w:val="left"/>
      </w:pPr>
      <w:r>
        <w:rPr>
          <w:rFonts w:ascii="Calibri" w:hAnsi="Calibri" w:eastAsia="宋体"/>
          <w:sz w:val="22"/>
        </w:rPr>
        <w:t>PDF 提示分钟级数据需要自行处理。若直接把含缺失的分钟数据按天求和，缺失分钟会系统性压低日总电量；因此本文先补齐完整 1 分钟时间索引，再在分钟级填补缺失。对于任意缺失分钟 t，本文在同一月份内查找 t±7、t±14、t±21、t±28 天的同星期几、同分钟时刻观测值，并对可用候选取均值。这个规则既利用了家庭用电的周周期，又避免跨月引入明显不同的季节背景。经统计，7 个原始电力变量各有 25979 个缺失分钟；所有缺失点至少有 1 个候选，最多有 4 个候选，平均候选数为 3.17。</w:t>
      </w:r>
    </w:p>
    <w:p>
      <w:pPr>
        <w:spacing w:after="120" w:line="264" w:lineRule="auto"/>
        <w:ind w:firstLine="440"/>
        <w:jc w:val="left"/>
      </w:pPr>
      <w:r>
        <w:rPr>
          <w:rFonts w:ascii="Calibri" w:hAnsi="Calibri" w:eastAsia="宋体"/>
          <w:sz w:val="22"/>
        </w:rPr>
        <w:t>完成分钟级填补后，本文按 PDF 要求进行日度聚合：global_active_power、global_reactive_power、sub_metering_1、sub_metering_2 和 sub_metering_3 按天求和；voltage 与 global_intensity 按天求平均；sub_metering_remainder 由 (global_active_power * 1000 / 60) - (sub_metering_1 + sub_metering_2 + sub_metering_3) 在分钟级计算后按天求和。天气变量为月度数据，因此将同一月份的 RR、NBJRR1、NBJRR5、NBJRR10 复制到当月每天。由于这些变量并非真实日度天气，报告中明确将其称为月度气象背景变量。</w:t>
      </w:r>
    </w:p>
    <w:tbl>
      <w:tblPr>
        <w:tblStyle w:val="TableGrid"/>
        <w:tblW w:type="auto" w:w="0"/>
        <w:jc w:val="center"/>
        <w:tblLook w:firstColumn="1" w:firstRow="1" w:lastColumn="0" w:lastRow="0" w:noHBand="0" w:noVBand="1" w:val="04A0"/>
      </w:tblPr>
      <w:tblGrid>
        <w:gridCol w:w="3120"/>
        <w:gridCol w:w="3120"/>
        <w:gridCol w:w="3120"/>
      </w:tblGrid>
      <w:tr>
        <w:tc>
          <w:tcPr>
            <w:tcW w:type="dxa" w:w="1728"/>
            <w:vAlign w:val="center"/>
            <w:shd w:fill="F2F4F7"/>
          </w:tcPr>
          <w:p>
            <w:pPr>
              <w:spacing w:after="0"/>
              <w:jc w:val="center"/>
            </w:pPr>
            <w:r/>
            <w:r>
              <w:rPr>
                <w:rFonts w:ascii="Calibri" w:hAnsi="Calibri" w:eastAsia="宋体"/>
                <w:b/>
                <w:sz w:val="18"/>
              </w:rPr>
              <w:t>特征类别</w:t>
            </w:r>
          </w:p>
        </w:tc>
        <w:tc>
          <w:tcPr>
            <w:tcW w:type="dxa" w:w="3744"/>
            <w:vAlign w:val="center"/>
            <w:shd w:fill="F2F4F7"/>
          </w:tcPr>
          <w:p>
            <w:pPr>
              <w:spacing w:after="0"/>
              <w:jc w:val="center"/>
            </w:pPr>
            <w:r/>
            <w:r>
              <w:rPr>
                <w:rFonts w:ascii="Calibri" w:hAnsi="Calibri" w:eastAsia="宋体"/>
                <w:b/>
                <w:sz w:val="18"/>
              </w:rPr>
              <w:t>字段</w:t>
            </w:r>
          </w:p>
        </w:tc>
        <w:tc>
          <w:tcPr>
            <w:tcW w:type="dxa" w:w="3888"/>
            <w:vAlign w:val="center"/>
            <w:shd w:fill="F2F4F7"/>
          </w:tcPr>
          <w:p>
            <w:pPr>
              <w:spacing w:after="0"/>
              <w:jc w:val="center"/>
            </w:pPr>
            <w:r/>
            <w:r>
              <w:rPr>
                <w:rFonts w:ascii="Calibri" w:hAnsi="Calibri" w:eastAsia="宋体"/>
                <w:b/>
                <w:sz w:val="18"/>
              </w:rPr>
              <w:t>日度处理方式</w:t>
            </w:r>
          </w:p>
        </w:tc>
      </w:tr>
      <w:tr>
        <w:tc>
          <w:tcPr>
            <w:tcW w:type="dxa" w:w="1728"/>
            <w:vAlign w:val="center"/>
          </w:tcPr>
          <w:p>
            <w:pPr>
              <w:spacing w:after="0"/>
              <w:jc w:val="center"/>
            </w:pPr>
            <w:r/>
            <w:r>
              <w:rPr>
                <w:rFonts w:ascii="Calibri" w:hAnsi="Calibri" w:eastAsia="宋体"/>
                <w:b w:val="0"/>
                <w:sz w:val="18"/>
              </w:rPr>
              <w:t>目标与功率</w:t>
            </w:r>
          </w:p>
        </w:tc>
        <w:tc>
          <w:tcPr>
            <w:tcW w:type="dxa" w:w="3744"/>
            <w:vAlign w:val="center"/>
          </w:tcPr>
          <w:p>
            <w:pPr>
              <w:spacing w:after="0"/>
              <w:jc w:val="left"/>
            </w:pPr>
            <w:r/>
            <w:r>
              <w:rPr>
                <w:rFonts w:ascii="Calibri" w:hAnsi="Calibri" w:eastAsia="宋体"/>
                <w:b w:val="0"/>
                <w:sz w:val="18"/>
              </w:rPr>
              <w:t>global_active_power, global_reactive_power</w:t>
            </w:r>
          </w:p>
        </w:tc>
        <w:tc>
          <w:tcPr>
            <w:tcW w:type="dxa" w:w="3888"/>
            <w:vAlign w:val="center"/>
          </w:tcPr>
          <w:p>
            <w:pPr>
              <w:spacing w:after="0"/>
              <w:jc w:val="left"/>
            </w:pPr>
            <w:r/>
            <w:r>
              <w:rPr>
                <w:rFonts w:ascii="Calibri" w:hAnsi="Calibri" w:eastAsia="宋体"/>
                <w:b w:val="0"/>
                <w:sz w:val="18"/>
              </w:rPr>
              <w:t>按天求和</w:t>
            </w:r>
          </w:p>
        </w:tc>
      </w:tr>
      <w:tr>
        <w:tc>
          <w:tcPr>
            <w:tcW w:type="dxa" w:w="1728"/>
            <w:vAlign w:val="center"/>
          </w:tcPr>
          <w:p>
            <w:pPr>
              <w:spacing w:after="0"/>
              <w:jc w:val="center"/>
            </w:pPr>
            <w:r/>
            <w:r>
              <w:rPr>
                <w:rFonts w:ascii="Calibri" w:hAnsi="Calibri" w:eastAsia="宋体"/>
                <w:b w:val="0"/>
                <w:sz w:val="18"/>
              </w:rPr>
              <w:t>电力状态</w:t>
            </w:r>
          </w:p>
        </w:tc>
        <w:tc>
          <w:tcPr>
            <w:tcW w:type="dxa" w:w="3744"/>
            <w:vAlign w:val="center"/>
          </w:tcPr>
          <w:p>
            <w:pPr>
              <w:spacing w:after="0"/>
              <w:jc w:val="left"/>
            </w:pPr>
            <w:r/>
            <w:r>
              <w:rPr>
                <w:rFonts w:ascii="Calibri" w:hAnsi="Calibri" w:eastAsia="宋体"/>
                <w:b w:val="0"/>
                <w:sz w:val="18"/>
              </w:rPr>
              <w:t>voltage, global_intensity</w:t>
            </w:r>
          </w:p>
        </w:tc>
        <w:tc>
          <w:tcPr>
            <w:tcW w:type="dxa" w:w="3888"/>
            <w:vAlign w:val="center"/>
          </w:tcPr>
          <w:p>
            <w:pPr>
              <w:spacing w:after="0"/>
              <w:jc w:val="left"/>
            </w:pPr>
            <w:r/>
            <w:r>
              <w:rPr>
                <w:rFonts w:ascii="Calibri" w:hAnsi="Calibri" w:eastAsia="宋体"/>
                <w:b w:val="0"/>
                <w:sz w:val="18"/>
              </w:rPr>
              <w:t>按天求平均</w:t>
            </w:r>
          </w:p>
        </w:tc>
      </w:tr>
      <w:tr>
        <w:tc>
          <w:tcPr>
            <w:tcW w:type="dxa" w:w="1728"/>
            <w:vAlign w:val="center"/>
          </w:tcPr>
          <w:p>
            <w:pPr>
              <w:spacing w:after="0"/>
              <w:jc w:val="center"/>
            </w:pPr>
            <w:r/>
            <w:r>
              <w:rPr>
                <w:rFonts w:ascii="Calibri" w:hAnsi="Calibri" w:eastAsia="宋体"/>
                <w:b w:val="0"/>
                <w:sz w:val="18"/>
              </w:rPr>
              <w:t>分表能耗</w:t>
            </w:r>
          </w:p>
        </w:tc>
        <w:tc>
          <w:tcPr>
            <w:tcW w:type="dxa" w:w="3744"/>
            <w:vAlign w:val="center"/>
          </w:tcPr>
          <w:p>
            <w:pPr>
              <w:spacing w:after="0"/>
              <w:jc w:val="left"/>
            </w:pPr>
            <w:r/>
            <w:r>
              <w:rPr>
                <w:rFonts w:ascii="Calibri" w:hAnsi="Calibri" w:eastAsia="宋体"/>
                <w:b w:val="0"/>
                <w:sz w:val="18"/>
              </w:rPr>
              <w:t>sub_metering_1/2/3</w:t>
            </w:r>
          </w:p>
        </w:tc>
        <w:tc>
          <w:tcPr>
            <w:tcW w:type="dxa" w:w="3888"/>
            <w:vAlign w:val="center"/>
          </w:tcPr>
          <w:p>
            <w:pPr>
              <w:spacing w:after="0"/>
              <w:jc w:val="left"/>
            </w:pPr>
            <w:r/>
            <w:r>
              <w:rPr>
                <w:rFonts w:ascii="Calibri" w:hAnsi="Calibri" w:eastAsia="宋体"/>
                <w:b w:val="0"/>
                <w:sz w:val="18"/>
              </w:rPr>
              <w:t>按天求和</w:t>
            </w:r>
          </w:p>
        </w:tc>
      </w:tr>
      <w:tr>
        <w:tc>
          <w:tcPr>
            <w:tcW w:type="dxa" w:w="1728"/>
            <w:vAlign w:val="center"/>
          </w:tcPr>
          <w:p>
            <w:pPr>
              <w:spacing w:after="0"/>
              <w:jc w:val="center"/>
            </w:pPr>
            <w:r/>
            <w:r>
              <w:rPr>
                <w:rFonts w:ascii="Calibri" w:hAnsi="Calibri" w:eastAsia="宋体"/>
                <w:b w:val="0"/>
                <w:sz w:val="18"/>
              </w:rPr>
              <w:t>派生能耗</w:t>
            </w:r>
          </w:p>
        </w:tc>
        <w:tc>
          <w:tcPr>
            <w:tcW w:type="dxa" w:w="3744"/>
            <w:vAlign w:val="center"/>
          </w:tcPr>
          <w:p>
            <w:pPr>
              <w:spacing w:after="0"/>
              <w:jc w:val="left"/>
            </w:pPr>
            <w:r/>
            <w:r>
              <w:rPr>
                <w:rFonts w:ascii="Calibri" w:hAnsi="Calibri" w:eastAsia="宋体"/>
                <w:b w:val="0"/>
                <w:sz w:val="18"/>
              </w:rPr>
              <w:t>sub_metering_remainder</w:t>
            </w:r>
          </w:p>
        </w:tc>
        <w:tc>
          <w:tcPr>
            <w:tcW w:type="dxa" w:w="3888"/>
            <w:vAlign w:val="center"/>
          </w:tcPr>
          <w:p>
            <w:pPr>
              <w:spacing w:after="0"/>
              <w:jc w:val="left"/>
            </w:pPr>
            <w:r/>
            <w:r>
              <w:rPr>
                <w:rFonts w:ascii="Calibri" w:hAnsi="Calibri" w:eastAsia="宋体"/>
                <w:b w:val="0"/>
                <w:sz w:val="18"/>
              </w:rPr>
              <w:t>由总有功功率和三个分表计算后按天求和</w:t>
            </w:r>
          </w:p>
        </w:tc>
      </w:tr>
      <w:tr>
        <w:tc>
          <w:tcPr>
            <w:tcW w:type="dxa" w:w="1728"/>
            <w:vAlign w:val="center"/>
          </w:tcPr>
          <w:p>
            <w:pPr>
              <w:spacing w:after="0"/>
              <w:jc w:val="center"/>
            </w:pPr>
            <w:r/>
            <w:r>
              <w:rPr>
                <w:rFonts w:ascii="Calibri" w:hAnsi="Calibri" w:eastAsia="宋体"/>
                <w:b w:val="0"/>
                <w:sz w:val="18"/>
              </w:rPr>
              <w:t>天气变量</w:t>
            </w:r>
          </w:p>
        </w:tc>
        <w:tc>
          <w:tcPr>
            <w:tcW w:type="dxa" w:w="3744"/>
            <w:vAlign w:val="center"/>
          </w:tcPr>
          <w:p>
            <w:pPr>
              <w:spacing w:after="0"/>
              <w:jc w:val="left"/>
            </w:pPr>
            <w:r/>
            <w:r>
              <w:rPr>
                <w:rFonts w:ascii="Calibri" w:hAnsi="Calibri" w:eastAsia="宋体"/>
                <w:b w:val="0"/>
                <w:sz w:val="18"/>
              </w:rPr>
              <w:t>RR、NBJRR1、NBJRR5、NBJRR10</w:t>
            </w:r>
          </w:p>
        </w:tc>
        <w:tc>
          <w:tcPr>
            <w:tcW w:type="dxa" w:w="3888"/>
            <w:vAlign w:val="center"/>
          </w:tcPr>
          <w:p>
            <w:pPr>
              <w:spacing w:after="0"/>
              <w:jc w:val="left"/>
            </w:pPr>
            <w:r/>
            <w:r>
              <w:rPr>
                <w:rFonts w:ascii="Calibri" w:hAnsi="Calibri" w:eastAsia="宋体"/>
                <w:b w:val="0"/>
                <w:sz w:val="18"/>
              </w:rPr>
              <w:t>SURESNES 月度天气值复制到当月每天，RR 除以 10</w:t>
            </w:r>
          </w:p>
        </w:tc>
      </w:tr>
      <w:tr>
        <w:tc>
          <w:tcPr>
            <w:tcW w:type="dxa" w:w="1728"/>
            <w:vAlign w:val="center"/>
          </w:tcPr>
          <w:p>
            <w:pPr>
              <w:spacing w:after="0"/>
              <w:jc w:val="center"/>
            </w:pPr>
            <w:r/>
            <w:r>
              <w:rPr>
                <w:rFonts w:ascii="Calibri" w:hAnsi="Calibri" w:eastAsia="宋体"/>
                <w:b w:val="0"/>
                <w:sz w:val="18"/>
              </w:rPr>
              <w:t>日期周期</w:t>
            </w:r>
          </w:p>
        </w:tc>
        <w:tc>
          <w:tcPr>
            <w:tcW w:type="dxa" w:w="3744"/>
            <w:vAlign w:val="center"/>
          </w:tcPr>
          <w:p>
            <w:pPr>
              <w:spacing w:after="0"/>
              <w:jc w:val="left"/>
            </w:pPr>
            <w:r/>
            <w:r>
              <w:rPr>
                <w:rFonts w:ascii="Calibri" w:hAnsi="Calibri" w:eastAsia="宋体"/>
                <w:b w:val="0"/>
                <w:sz w:val="18"/>
              </w:rPr>
              <w:t>dayofweek_sin/cos, month_sin/cos</w:t>
            </w:r>
          </w:p>
        </w:tc>
        <w:tc>
          <w:tcPr>
            <w:tcW w:type="dxa" w:w="3888"/>
            <w:vAlign w:val="center"/>
          </w:tcPr>
          <w:p>
            <w:pPr>
              <w:spacing w:after="0"/>
              <w:jc w:val="left"/>
            </w:pPr>
            <w:r/>
            <w:r>
              <w:rPr>
                <w:rFonts w:ascii="Calibri" w:hAnsi="Calibri" w:eastAsia="宋体"/>
                <w:b w:val="0"/>
                <w:sz w:val="18"/>
              </w:rPr>
              <w:t>正余弦编码</w:t>
            </w:r>
          </w:p>
        </w:tc>
      </w:tr>
    </w:tbl>
    <w:p>
      <w:pPr>
        <w:spacing w:after="160"/>
        <w:jc w:val="center"/>
      </w:pPr>
      <w:r>
        <w:rPr>
          <w:rFonts w:ascii="Calibri" w:hAnsi="Calibri" w:eastAsia="宋体"/>
          <w:sz w:val="18"/>
        </w:rPr>
        <w:t>表 3 特征构造与日度聚合方式</w:t>
      </w:r>
    </w:p>
    <w:p>
      <w:pPr>
        <w:spacing w:after="120" w:line="264" w:lineRule="auto"/>
        <w:ind w:firstLine="440"/>
        <w:jc w:val="left"/>
      </w:pPr>
      <w:r>
        <w:rPr>
          <w:rFonts w:ascii="Calibri" w:hAnsi="Calibri" w:eastAsia="宋体"/>
          <w:sz w:val="22"/>
        </w:rPr>
        <w:t>标准化参数只在训练段日序列上计算，避免测试集信息泄露。输入特征使用训练段均值和标准差标准化，输出目标使用训练段 global_active_power 的均值和标准差标准化。模型训练时在标准化空间优化 MSE，测试时将预测值反标准化回原始 daily sum 尺度，再计算 MSE 和 MAE。</w:t>
      </w:r>
    </w:p>
    <w:p>
      <w:pPr>
        <w:spacing w:after="120" w:line="264" w:lineRule="auto"/>
        <w:ind w:firstLine="440"/>
        <w:jc w:val="left"/>
      </w:pPr>
      <w:r>
        <w:rPr>
          <w:rFonts w:ascii="Calibri" w:hAnsi="Calibri" w:eastAsia="宋体"/>
          <w:sz w:val="22"/>
        </w:rPr>
        <w:t>监督样本采用滑动窗口构造。输入窗口长度固定为 90 天，输出窗口长度 H 分别为 90 和 365。训练窗口要求输出区间完全位于训练段内，测试窗口要求预测起点位于测试段内。测试阶段采用 rolling-origin evaluation：模型参数固定后，在测试时间段内滚动构造多个测试窗口，并汇总所有测试窗口、所有预测点的误差。最终输入维度为 16，其中包括 8 个电力/分表相关变量、4 个天气变量和 4 个日期周期变量。90 天任务得到 757 个训练窗口和 415 个测试窗口；365 天任务得到 482 个训练窗口和 140 个测试窗口。</w:t>
      </w:r>
    </w:p>
    <w:p>
      <w:pPr>
        <w:spacing w:after="120"/>
        <w:jc w:val="center"/>
      </w:pPr>
      <w:r>
        <w:rPr>
          <w:rFonts w:ascii="Consolas" w:hAnsi="Consolas" w:eastAsia="Consolas"/>
          <w:sz w:val="20"/>
        </w:rPr>
        <w:t>MSE = (1/N) Σ_i (y_i - ŷ_i)^2</w:t>
      </w:r>
    </w:p>
    <w:p>
      <w:pPr>
        <w:spacing w:after="120"/>
        <w:jc w:val="center"/>
      </w:pPr>
      <w:r>
        <w:rPr>
          <w:rFonts w:ascii="Consolas" w:hAnsi="Consolas" w:eastAsia="Consolas"/>
          <w:sz w:val="20"/>
        </w:rPr>
        <w:t>MAE = (1/N) Σ_i |y_i - ŷ_i|</w:t>
      </w:r>
    </w:p>
    <w:p>
      <w:pPr>
        <w:spacing w:after="120" w:line="264" w:lineRule="auto"/>
        <w:ind w:firstLine="440"/>
        <w:jc w:val="left"/>
      </w:pPr>
      <w:r>
        <w:rPr>
          <w:rFonts w:ascii="Calibri" w:hAnsi="Calibri" w:eastAsia="宋体"/>
          <w:sz w:val="22"/>
        </w:rPr>
        <w:t>其中 N 表示所有 rolling-origin 测试窗口中预测点的总数。MSE 对大误差更敏感，MAE 更直观地表示平均每天的绝对偏差。由于本任务的目标是按天求和后的 global_active_power，MSE 的绝对值会比分钟级或 kWh 尺度更大，解释结果时需要同时参考 MAE 和 RMSE。</w:t>
      </w:r>
    </w:p>
    <w:p>
      <w:pPr>
        <w:pStyle w:val="Heading2"/>
      </w:pPr>
      <w:r>
        <w:t>2.2 LSTM 基线模型</w:t>
      </w:r>
    </w:p>
    <w:p>
      <w:pPr>
        <w:spacing w:after="120" w:line="264" w:lineRule="auto"/>
        <w:ind w:firstLine="440"/>
        <w:jc w:val="left"/>
      </w:pPr>
      <w:r>
        <w:rPr>
          <w:rFonts w:ascii="Calibri" w:hAnsi="Calibri" w:eastAsia="宋体"/>
          <w:sz w:val="22"/>
        </w:rPr>
        <w:t>LSTM 是处理序列依赖的经典循环神经网络。本文使用单层 LSTM 对过去 90 天的多变量输入进行编码，取最后一个时间步的隐藏状态作为历史窗口的压缩表示，再经过 LayerNorm、Dropout 和线性预测头直接输出未来 H 天的完整曲线。90 天和 365 天任务分别训练独立模型，输出维度分别为 90 和 365。</w:t>
      </w:r>
    </w:p>
    <w:p>
      <w:pPr>
        <w:spacing w:after="120" w:line="264" w:lineRule="auto"/>
        <w:ind w:firstLine="440"/>
        <w:jc w:val="left"/>
      </w:pPr>
      <w:r>
        <w:rPr>
          <w:rFonts w:ascii="Calibri" w:hAnsi="Calibri" w:eastAsia="宋体"/>
          <w:sz w:val="22"/>
        </w:rPr>
        <w:t>LSTM 的输入张量形状为 [B, 90, 16]。模型按时间顺序递归更新隐藏状态，因此较适合捕捉相邻日期之间的局部连续性。本文采用 direct multi-output 方式一次性输出完整预测曲线，而不是逐日递推，避免递推式多步预测中的误差逐步累积。</w:t>
      </w:r>
    </w:p>
    <w:p>
      <w:pPr>
        <w:pStyle w:val="Heading2"/>
      </w:pPr>
      <w:r>
        <w:t>2.3 Transformer 基线模型</w:t>
      </w:r>
    </w:p>
    <w:p>
      <w:pPr>
        <w:spacing w:after="120" w:line="264" w:lineRule="auto"/>
        <w:ind w:firstLine="440"/>
        <w:jc w:val="left"/>
      </w:pPr>
      <w:r>
        <w:rPr>
          <w:rFonts w:ascii="Calibri" w:hAnsi="Calibri" w:eastAsia="宋体"/>
          <w:sz w:val="22"/>
        </w:rPr>
        <w:t>标准 Transformer 将每天的多变量观测作为一个时间 token。具体做法是先将每个日度特征向量映射到 64 维隐藏空间，加入正弦位置编码后送入两层 Transformer Encoder。自注意力机制能够直接建模任意两个日期之间的关系，因此理论上比循环结构更适合捕捉较长时间范围内的模式变化。模型使用最后一个时间 token 的编码表示，通过线性预测头输出未来 H 天曲线。</w:t>
      </w:r>
    </w:p>
    <w:p>
      <w:pPr>
        <w:spacing w:after="120" w:line="264" w:lineRule="auto"/>
        <w:ind w:firstLine="440"/>
        <w:jc w:val="left"/>
      </w:pPr>
      <w:r>
        <w:rPr>
          <w:rFonts w:ascii="Calibri" w:hAnsi="Calibri" w:eastAsia="宋体"/>
          <w:sz w:val="22"/>
        </w:rPr>
        <w:t>Transformer 的优点是并行计算和长依赖建模能力较强；缺点是在日度样本数量有限时，参数量和注意力结构可能更容易受训练样本规模、正则化强度和随机初始化影响。因此本文用 5 个随机种子重复实验，并报告标准差来衡量稳定性。</w:t>
      </w:r>
    </w:p>
    <w:p>
      <w:pPr>
        <w:pStyle w:val="Heading2"/>
      </w:pPr>
      <w:r>
        <w:t>2.4 PVG-iTransformer 改进模型</w:t>
      </w:r>
    </w:p>
    <w:p>
      <w:pPr>
        <w:spacing w:after="120" w:line="264" w:lineRule="auto"/>
        <w:ind w:firstLine="440"/>
        <w:jc w:val="left"/>
      </w:pPr>
      <w:r>
        <w:rPr>
          <w:rFonts w:ascii="Calibri" w:hAnsi="Calibri" w:eastAsia="宋体"/>
          <w:sz w:val="22"/>
        </w:rPr>
        <w:t>第三部分提出 PVG-iTransformer，即 Patch-Variable Gated iTransformer，中文可称为基于时间片段与变量反转门控融合的 Transformer。该模型受 PatchTST 的时间 patch 思想和 iTransformer 的变量反转思想启发，但针对本任务设计为双分支结构。它不是简单堆叠更多层数，而是改变 Transformer 的 token 构造方式，使模型同时从时间片段和变量关系两个视角理解家庭用电序列。</w:t>
      </w:r>
    </w:p>
    <w:p>
      <w:pPr>
        <w:spacing w:after="120" w:line="264" w:lineRule="auto"/>
        <w:ind w:firstLine="440"/>
        <w:jc w:val="left"/>
      </w:pPr>
      <w:r>
        <w:rPr>
          <w:rFonts w:ascii="Calibri" w:hAnsi="Calibri" w:eastAsia="宋体"/>
          <w:sz w:val="22"/>
        </w:rPr>
        <w:t>时间 Patch 分支将 90 天输入切分为长度 7、步长 3 的周级片段，并强制包含最后一个 patch，最终得到 29 个 patch token。每个 patch 展平后经线性层映射到 64 维隐藏空间，加入可学习位置嵌入，再送入两层 Transformer Encoder，最后通过 mean pooling 得到时间视角表示 f_time。该分支强调近期周周期、阶段变化和局部趋势。</w:t>
      </w:r>
    </w:p>
    <w:p>
      <w:pPr>
        <w:spacing w:after="120" w:line="264" w:lineRule="auto"/>
        <w:ind w:firstLine="440"/>
        <w:jc w:val="left"/>
      </w:pPr>
      <w:r>
        <w:rPr>
          <w:rFonts w:ascii="Calibri" w:hAnsi="Calibri" w:eastAsia="宋体"/>
          <w:sz w:val="22"/>
        </w:rPr>
        <w:t>变量分支将输入转置为 [B, D, 90]，把每个变量过去 90 天的历史作为一个 variable token。每个变量 token 经 Linear(90, 64) 映射后，加入变量嵌入和变量组嵌入。变量组包括目标功率、电力上下文、分表能耗、天气变量和日历变量。该分支借鉴 iTransformer 的反转思想，重点学习变量之间的依赖关系，并取 Global_active_power 对应 token 作为变量视角表示 f_var。</w:t>
      </w:r>
    </w:p>
    <w:p>
      <w:pPr>
        <w:spacing w:after="120" w:line="264" w:lineRule="auto"/>
        <w:ind w:firstLine="440"/>
        <w:jc w:val="left"/>
      </w:pPr>
      <w:r>
        <w:rPr>
          <w:rFonts w:ascii="Calibri" w:hAnsi="Calibri" w:eastAsia="宋体"/>
          <w:sz w:val="22"/>
        </w:rPr>
        <w:t>双分支输出通过门控融合模块组合：g = sigmoid(W[f_time; f_var] + b)，f = g * f_time + (1 - g) * f_var。当某个样本更依赖近期时间趋势时，门控可以提高 f_time 的权重；当跨变量关系更重要时，门控可以提高 f_var 的权重。融合表示最后经过 MLP 直接输出未来 90 或 365 天预测值。</w:t>
      </w:r>
    </w:p>
    <w:tbl>
      <w:tblPr>
        <w:tblStyle w:val="TableGrid"/>
        <w:tblW w:type="auto" w:w="0"/>
        <w:jc w:val="center"/>
        <w:tblLook w:firstColumn="1" w:firstRow="1" w:lastColumn="0" w:lastRow="0" w:noHBand="0" w:noVBand="1" w:val="04A0"/>
      </w:tblPr>
      <w:tblGrid>
        <w:gridCol w:w="3120"/>
        <w:gridCol w:w="3120"/>
        <w:gridCol w:w="3120"/>
      </w:tblGrid>
      <w:tr>
        <w:tc>
          <w:tcPr>
            <w:tcW w:type="dxa" w:w="1944"/>
            <w:vAlign w:val="center"/>
            <w:shd w:fill="F2F4F7"/>
          </w:tcPr>
          <w:p>
            <w:pPr>
              <w:spacing w:after="0"/>
              <w:jc w:val="center"/>
            </w:pPr>
            <w:r/>
            <w:r>
              <w:rPr>
                <w:rFonts w:ascii="Calibri" w:hAnsi="Calibri" w:eastAsia="宋体"/>
                <w:b/>
                <w:sz w:val="18"/>
              </w:rPr>
              <w:t>模块</w:t>
            </w:r>
          </w:p>
        </w:tc>
        <w:tc>
          <w:tcPr>
            <w:tcW w:type="dxa" w:w="2952"/>
            <w:vAlign w:val="center"/>
            <w:shd w:fill="F2F4F7"/>
          </w:tcPr>
          <w:p>
            <w:pPr>
              <w:spacing w:after="0"/>
              <w:jc w:val="center"/>
            </w:pPr>
            <w:r/>
            <w:r>
              <w:rPr>
                <w:rFonts w:ascii="Calibri" w:hAnsi="Calibri" w:eastAsia="宋体"/>
                <w:b/>
                <w:sz w:val="18"/>
              </w:rPr>
              <w:t>输入 token</w:t>
            </w:r>
          </w:p>
        </w:tc>
        <w:tc>
          <w:tcPr>
            <w:tcW w:type="dxa" w:w="4464"/>
            <w:vAlign w:val="center"/>
            <w:shd w:fill="F2F4F7"/>
          </w:tcPr>
          <w:p>
            <w:pPr>
              <w:spacing w:after="0"/>
              <w:jc w:val="center"/>
            </w:pPr>
            <w:r/>
            <w:r>
              <w:rPr>
                <w:rFonts w:ascii="Calibri" w:hAnsi="Calibri" w:eastAsia="宋体"/>
                <w:b/>
                <w:sz w:val="18"/>
              </w:rPr>
              <w:t>作用</w:t>
            </w:r>
          </w:p>
        </w:tc>
      </w:tr>
      <w:tr>
        <w:tc>
          <w:tcPr>
            <w:tcW w:type="dxa" w:w="1944"/>
            <w:vAlign w:val="center"/>
          </w:tcPr>
          <w:p>
            <w:pPr>
              <w:spacing w:after="0"/>
              <w:jc w:val="center"/>
            </w:pPr>
            <w:r/>
            <w:r>
              <w:rPr>
                <w:rFonts w:ascii="Calibri" w:hAnsi="Calibri" w:eastAsia="宋体"/>
                <w:b w:val="0"/>
                <w:sz w:val="18"/>
              </w:rPr>
              <w:t>时间 Patch 分支</w:t>
            </w:r>
          </w:p>
        </w:tc>
        <w:tc>
          <w:tcPr>
            <w:tcW w:type="dxa" w:w="2952"/>
            <w:vAlign w:val="center"/>
          </w:tcPr>
          <w:p>
            <w:pPr>
              <w:spacing w:after="0"/>
              <w:jc w:val="center"/>
            </w:pPr>
            <w:r/>
            <w:r>
              <w:rPr>
                <w:rFonts w:ascii="Calibri" w:hAnsi="Calibri" w:eastAsia="宋体"/>
                <w:b w:val="0"/>
                <w:sz w:val="18"/>
              </w:rPr>
              <w:t>29 个周级 patch token</w:t>
            </w:r>
          </w:p>
        </w:tc>
        <w:tc>
          <w:tcPr>
            <w:tcW w:type="dxa" w:w="4464"/>
            <w:vAlign w:val="center"/>
          </w:tcPr>
          <w:p>
            <w:pPr>
              <w:spacing w:after="0"/>
              <w:jc w:val="left"/>
            </w:pPr>
            <w:r/>
            <w:r>
              <w:rPr>
                <w:rFonts w:ascii="Calibri" w:hAnsi="Calibri" w:eastAsia="宋体"/>
                <w:b w:val="0"/>
                <w:sz w:val="18"/>
              </w:rPr>
              <w:t>学习局部周期、阶段变化和近期趋势</w:t>
            </w:r>
          </w:p>
        </w:tc>
      </w:tr>
      <w:tr>
        <w:tc>
          <w:tcPr>
            <w:tcW w:type="dxa" w:w="1944"/>
            <w:vAlign w:val="center"/>
          </w:tcPr>
          <w:p>
            <w:pPr>
              <w:spacing w:after="0"/>
              <w:jc w:val="center"/>
            </w:pPr>
            <w:r/>
            <w:r>
              <w:rPr>
                <w:rFonts w:ascii="Calibri" w:hAnsi="Calibri" w:eastAsia="宋体"/>
                <w:b w:val="0"/>
                <w:sz w:val="18"/>
              </w:rPr>
              <w:t>变量分支</w:t>
            </w:r>
          </w:p>
        </w:tc>
        <w:tc>
          <w:tcPr>
            <w:tcW w:type="dxa" w:w="2952"/>
            <w:vAlign w:val="center"/>
          </w:tcPr>
          <w:p>
            <w:pPr>
              <w:spacing w:after="0"/>
              <w:jc w:val="center"/>
            </w:pPr>
            <w:r/>
            <w:r>
              <w:rPr>
                <w:rFonts w:ascii="Calibri" w:hAnsi="Calibri" w:eastAsia="宋体"/>
                <w:b w:val="0"/>
                <w:sz w:val="18"/>
              </w:rPr>
              <w:t>16 个 variable token</w:t>
            </w:r>
          </w:p>
        </w:tc>
        <w:tc>
          <w:tcPr>
            <w:tcW w:type="dxa" w:w="4464"/>
            <w:vAlign w:val="center"/>
          </w:tcPr>
          <w:p>
            <w:pPr>
              <w:spacing w:after="0"/>
              <w:jc w:val="left"/>
            </w:pPr>
            <w:r/>
            <w:r>
              <w:rPr>
                <w:rFonts w:ascii="Calibri" w:hAnsi="Calibri" w:eastAsia="宋体"/>
                <w:b w:val="0"/>
                <w:sz w:val="18"/>
              </w:rPr>
              <w:t>学习目标功率、电力状态、分表、天气和日历变量关系</w:t>
            </w:r>
          </w:p>
        </w:tc>
      </w:tr>
      <w:tr>
        <w:tc>
          <w:tcPr>
            <w:tcW w:type="dxa" w:w="1944"/>
            <w:vAlign w:val="center"/>
          </w:tcPr>
          <w:p>
            <w:pPr>
              <w:spacing w:after="0"/>
              <w:jc w:val="center"/>
            </w:pPr>
            <w:r/>
            <w:r>
              <w:rPr>
                <w:rFonts w:ascii="Calibri" w:hAnsi="Calibri" w:eastAsia="宋体"/>
                <w:b w:val="0"/>
                <w:sz w:val="18"/>
              </w:rPr>
              <w:t>门控融合</w:t>
            </w:r>
          </w:p>
        </w:tc>
        <w:tc>
          <w:tcPr>
            <w:tcW w:type="dxa" w:w="2952"/>
            <w:vAlign w:val="center"/>
          </w:tcPr>
          <w:p>
            <w:pPr>
              <w:spacing w:after="0"/>
              <w:jc w:val="center"/>
            </w:pPr>
            <w:r/>
            <w:r>
              <w:rPr>
                <w:rFonts w:ascii="Calibri" w:hAnsi="Calibri" w:eastAsia="宋体"/>
                <w:b w:val="0"/>
                <w:sz w:val="18"/>
              </w:rPr>
              <w:t>f_time 与 f_var</w:t>
            </w:r>
          </w:p>
        </w:tc>
        <w:tc>
          <w:tcPr>
            <w:tcW w:type="dxa" w:w="4464"/>
            <w:vAlign w:val="center"/>
          </w:tcPr>
          <w:p>
            <w:pPr>
              <w:spacing w:after="0"/>
              <w:jc w:val="left"/>
            </w:pPr>
            <w:r/>
            <w:r>
              <w:rPr>
                <w:rFonts w:ascii="Calibri" w:hAnsi="Calibri" w:eastAsia="宋体"/>
                <w:b w:val="0"/>
                <w:sz w:val="18"/>
              </w:rPr>
              <w:t>根据样本自适应平衡时间模式和变量关系</w:t>
            </w:r>
          </w:p>
        </w:tc>
      </w:tr>
      <w:tr>
        <w:tc>
          <w:tcPr>
            <w:tcW w:type="dxa" w:w="1944"/>
            <w:vAlign w:val="center"/>
          </w:tcPr>
          <w:p>
            <w:pPr>
              <w:spacing w:after="0"/>
              <w:jc w:val="center"/>
            </w:pPr>
            <w:r/>
            <w:r>
              <w:rPr>
                <w:rFonts w:ascii="Calibri" w:hAnsi="Calibri" w:eastAsia="宋体"/>
                <w:b w:val="0"/>
                <w:sz w:val="18"/>
              </w:rPr>
              <w:t>预测头</w:t>
            </w:r>
          </w:p>
        </w:tc>
        <w:tc>
          <w:tcPr>
            <w:tcW w:type="dxa" w:w="2952"/>
            <w:vAlign w:val="center"/>
          </w:tcPr>
          <w:p>
            <w:pPr>
              <w:spacing w:after="0"/>
              <w:jc w:val="center"/>
            </w:pPr>
            <w:r/>
            <w:r>
              <w:rPr>
                <w:rFonts w:ascii="Calibri" w:hAnsi="Calibri" w:eastAsia="宋体"/>
                <w:b w:val="0"/>
                <w:sz w:val="18"/>
              </w:rPr>
              <w:t>融合表示 f</w:t>
            </w:r>
          </w:p>
        </w:tc>
        <w:tc>
          <w:tcPr>
            <w:tcW w:type="dxa" w:w="4464"/>
            <w:vAlign w:val="center"/>
          </w:tcPr>
          <w:p>
            <w:pPr>
              <w:spacing w:after="0"/>
              <w:jc w:val="left"/>
            </w:pPr>
            <w:r/>
            <w:r>
              <w:rPr>
                <w:rFonts w:ascii="Calibri" w:hAnsi="Calibri" w:eastAsia="宋体"/>
                <w:b w:val="0"/>
                <w:sz w:val="18"/>
              </w:rPr>
              <w:t>直接输出未来 90 或 365 天总有功功率</w:t>
            </w:r>
          </w:p>
        </w:tc>
      </w:tr>
    </w:tbl>
    <w:p>
      <w:pPr>
        <w:spacing w:after="160"/>
        <w:jc w:val="center"/>
      </w:pPr>
      <w:r>
        <w:rPr>
          <w:rFonts w:ascii="Calibri" w:hAnsi="Calibri" w:eastAsia="宋体"/>
          <w:sz w:val="18"/>
        </w:rPr>
        <w:t>表 4 PVG-iTransformer 结构组成</w:t>
      </w:r>
    </w:p>
    <w:p>
      <w:pPr>
        <w:spacing w:after="120" w:line="264" w:lineRule="auto"/>
        <w:ind w:firstLine="440"/>
        <w:jc w:val="left"/>
      </w:pPr>
      <w:r>
        <w:rPr>
          <w:rFonts w:ascii="Calibri" w:hAnsi="Calibri" w:eastAsia="宋体"/>
          <w:sz w:val="22"/>
        </w:rPr>
        <w:t>为验证各组成部分的实际贡献，本文在完整 PVG-iTransformer 之外补充三组消融变体。PVG w/o Time Patch 移除时间 Patch 分支，仅保留变量分支和预测头；PVG w/o Variable 移除变量分支，仅保留时间 Patch 分支和预测头；PVG w/o Gate 保留两个分支，但把可学习门控融合替换为 f = 0.5 * f_time + 0.5 * f_var 的固定平均融合。三组变体使用与完整模型完全相同的数据划分、标准化、优化器、训练轮数、随机种子和 rolling-origin 评价流程，因此结果差异可以主要解释为结构组件差异。</w:t>
      </w:r>
    </w:p>
    <w:p>
      <w:pPr>
        <w:spacing w:after="120" w:line="264" w:lineRule="auto"/>
        <w:ind w:firstLine="440"/>
        <w:jc w:val="left"/>
      </w:pPr>
      <w:r>
        <w:rPr>
          <w:rFonts w:ascii="Calibri" w:hAnsi="Calibri" w:eastAsia="宋体"/>
          <w:sz w:val="22"/>
        </w:rPr>
        <w:t>PVG-iTransformer 的前向过程可概括为如下伪代码，其中 H 表示预测长度，H=90 或 H=365：</w:t>
      </w:r>
    </w:p>
    <w:p>
      <w:pPr>
        <w:spacing w:after="0"/>
        <w:ind w:left="360"/>
      </w:pPr>
      <w:r>
        <w:rPr>
          <w:rFonts w:ascii="Consolas" w:hAnsi="Consolas" w:eastAsia="Consolas"/>
          <w:sz w:val="18"/>
        </w:rPr>
        <w:t>Input: X in R^{B x 90 x D}, D=16</w:t>
      </w:r>
    </w:p>
    <w:p>
      <w:pPr>
        <w:spacing w:after="0"/>
        <w:ind w:left="360"/>
      </w:pPr>
      <w:r>
        <w:rPr>
          <w:rFonts w:ascii="Consolas" w:hAnsi="Consolas" w:eastAsia="Consolas"/>
          <w:sz w:val="18"/>
        </w:rPr>
        <w:t>Patch tokens: split X into weekly patches, Linear(patch) -&gt; P</w:t>
      </w:r>
    </w:p>
    <w:p>
      <w:pPr>
        <w:spacing w:after="0"/>
        <w:ind w:left="360"/>
      </w:pPr>
      <w:r>
        <w:rPr>
          <w:rFonts w:ascii="Consolas" w:hAnsi="Consolas" w:eastAsia="Consolas"/>
          <w:sz w:val="18"/>
        </w:rPr>
        <w:t>Time branch: f_time = MeanPool(TransformerEncoder(P + position_embedding))</w:t>
      </w:r>
    </w:p>
    <w:p>
      <w:pPr>
        <w:spacing w:after="0"/>
        <w:ind w:left="360"/>
      </w:pPr>
      <w:r>
        <w:rPr>
          <w:rFonts w:ascii="Consolas" w:hAnsi="Consolas" w:eastAsia="Consolas"/>
          <w:sz w:val="18"/>
        </w:rPr>
        <w:t>Variable tokens: transpose X to R^{B x D x 90}, Linear(history) -&gt; V</w:t>
      </w:r>
    </w:p>
    <w:p>
      <w:pPr>
        <w:spacing w:after="0"/>
        <w:ind w:left="360"/>
      </w:pPr>
      <w:r>
        <w:rPr>
          <w:rFonts w:ascii="Consolas" w:hAnsi="Consolas" w:eastAsia="Consolas"/>
          <w:sz w:val="18"/>
        </w:rPr>
        <w:t>Variable branch: f_var = target_token(TransformerEncoder(V + var_embedding + group_embedding))</w:t>
      </w:r>
    </w:p>
    <w:p>
      <w:pPr>
        <w:spacing w:after="0"/>
        <w:ind w:left="360"/>
      </w:pPr>
      <w:r>
        <w:rPr>
          <w:rFonts w:ascii="Consolas" w:hAnsi="Consolas" w:eastAsia="Consolas"/>
          <w:sz w:val="18"/>
        </w:rPr>
        <w:t>Gate: g = sigmoid(W concat(f_time, f_var) + b)</w:t>
      </w:r>
    </w:p>
    <w:p>
      <w:pPr>
        <w:spacing w:after="0"/>
        <w:ind w:left="360"/>
      </w:pPr>
      <w:r>
        <w:rPr>
          <w:rFonts w:ascii="Consolas" w:hAnsi="Consolas" w:eastAsia="Consolas"/>
          <w:sz w:val="18"/>
        </w:rPr>
        <w:t>Fusion: f = g * f_time + (1 - g) * f_var</w:t>
      </w:r>
    </w:p>
    <w:p>
      <w:pPr>
        <w:spacing w:after="0"/>
        <w:ind w:left="360"/>
      </w:pPr>
      <w:r>
        <w:rPr>
          <w:rFonts w:ascii="Consolas" w:hAnsi="Consolas" w:eastAsia="Consolas"/>
          <w:sz w:val="18"/>
        </w:rPr>
        <w:t>Output: y_hat = MLP(f) in R^{B x H}</w:t>
      </w:r>
    </w:p>
    <w:p>
      <w:pPr>
        <w:pStyle w:val="Heading2"/>
      </w:pPr>
      <w:r>
        <w:t>2.5 训练设置</w:t>
      </w:r>
    </w:p>
    <w:p>
      <w:pPr>
        <w:spacing w:after="120" w:line="264" w:lineRule="auto"/>
        <w:ind w:firstLine="440"/>
        <w:jc w:val="left"/>
      </w:pPr>
      <w:r>
        <w:rPr>
          <w:rFonts w:ascii="Calibri" w:hAnsi="Calibri" w:eastAsia="宋体"/>
          <w:sz w:val="22"/>
        </w:rPr>
        <w:t>三类主模型及 PVG 消融变体均使用 AdamW 优化器，学习率 1e-3，weight decay 为 1e-4，batch size 为 32，训练 30 个 epoch。损失函数为标准化目标空间中的 MSE。每个 epoch 后记录训练损失，最终保留训练损失最低的模型状态。随机种子为 42、43、44、45、46，共 5 轮。所有模型在同一数据划分、同一标准化方式、同一训练轮数和同一评价流程下比较。</w:t>
      </w:r>
    </w:p>
    <w:p>
      <w:pPr>
        <w:pStyle w:val="Heading1"/>
      </w:pPr>
      <w:r>
        <w:t>3. 结果与分析</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vAlign w:val="center"/>
            <w:shd w:fill="F2F4F7"/>
          </w:tcPr>
          <w:p>
            <w:pPr>
              <w:spacing w:after="0"/>
              <w:jc w:val="center"/>
            </w:pPr>
            <w:r/>
            <w:r>
              <w:rPr>
                <w:rFonts w:ascii="Calibri" w:hAnsi="Calibri" w:eastAsia="宋体"/>
                <w:b/>
                <w:sz w:val="18"/>
              </w:rPr>
              <w:t>模型</w:t>
            </w:r>
          </w:p>
        </w:tc>
        <w:tc>
          <w:tcPr>
            <w:tcW w:type="dxa" w:w="1440"/>
            <w:vAlign w:val="center"/>
            <w:shd w:fill="F2F4F7"/>
          </w:tcPr>
          <w:p>
            <w:pPr>
              <w:spacing w:after="0"/>
              <w:jc w:val="center"/>
            </w:pPr>
            <w:r/>
            <w:r>
              <w:rPr>
                <w:rFonts w:ascii="Calibri" w:hAnsi="Calibri" w:eastAsia="宋体"/>
                <w:b/>
                <w:sz w:val="18"/>
              </w:rPr>
              <w:t>预测天数</w:t>
            </w:r>
          </w:p>
        </w:tc>
        <w:tc>
          <w:tcPr>
            <w:tcW w:type="dxa" w:w="2376"/>
            <w:vAlign w:val="center"/>
            <w:shd w:fill="F2F4F7"/>
          </w:tcPr>
          <w:p>
            <w:pPr>
              <w:spacing w:after="0"/>
              <w:jc w:val="center"/>
            </w:pPr>
            <w:r/>
            <w:r>
              <w:rPr>
                <w:rFonts w:ascii="Calibri" w:hAnsi="Calibri" w:eastAsia="宋体"/>
                <w:b/>
                <w:sz w:val="18"/>
              </w:rPr>
              <w:t>MSE 均值±std</w:t>
            </w:r>
          </w:p>
        </w:tc>
        <w:tc>
          <w:tcPr>
            <w:tcW w:type="dxa" w:w="2376"/>
            <w:vAlign w:val="center"/>
            <w:shd w:fill="F2F4F7"/>
          </w:tcPr>
          <w:p>
            <w:pPr>
              <w:spacing w:after="0"/>
              <w:jc w:val="center"/>
            </w:pPr>
            <w:r/>
            <w:r>
              <w:rPr>
                <w:rFonts w:ascii="Calibri" w:hAnsi="Calibri" w:eastAsia="宋体"/>
                <w:b/>
                <w:sz w:val="18"/>
              </w:rPr>
              <w:t>MAE 均值±std</w:t>
            </w:r>
          </w:p>
        </w:tc>
        <w:tc>
          <w:tcPr>
            <w:tcW w:type="dxa" w:w="1008"/>
            <w:vAlign w:val="center"/>
            <w:shd w:fill="F2F4F7"/>
          </w:tcPr>
          <w:p>
            <w:pPr>
              <w:spacing w:after="0"/>
              <w:jc w:val="center"/>
            </w:pPr>
            <w:r/>
            <w:r>
              <w:rPr>
                <w:rFonts w:ascii="Calibri" w:hAnsi="Calibri" w:eastAsia="宋体"/>
                <w:b/>
                <w:sz w:val="18"/>
              </w:rPr>
              <w:t>轮数</w:t>
            </w:r>
          </w:p>
        </w:tc>
      </w:tr>
      <w:tr>
        <w:tc>
          <w:tcPr>
            <w:tcW w:type="dxa" w:w="1656"/>
            <w:vAlign w:val="center"/>
          </w:tcPr>
          <w:p>
            <w:pPr>
              <w:spacing w:after="0"/>
              <w:jc w:val="center"/>
            </w:pPr>
            <w:r/>
            <w:r>
              <w:rPr>
                <w:rFonts w:ascii="Calibri" w:hAnsi="Calibri" w:eastAsia="宋体"/>
                <w:b w:val="0"/>
                <w:sz w:val="18"/>
              </w:rPr>
              <w:t>LSTM</w:t>
            </w:r>
          </w:p>
        </w:tc>
        <w:tc>
          <w:tcPr>
            <w:tcW w:type="dxa" w:w="1440"/>
            <w:vAlign w:val="center"/>
          </w:tcPr>
          <w:p>
            <w:pPr>
              <w:spacing w:after="0"/>
              <w:jc w:val="center"/>
            </w:pPr>
            <w:r/>
            <w:r>
              <w:rPr>
                <w:rFonts w:ascii="Calibri" w:hAnsi="Calibri" w:eastAsia="宋体"/>
                <w:b w:val="0"/>
                <w:sz w:val="18"/>
              </w:rPr>
              <w:t>90</w:t>
            </w:r>
          </w:p>
        </w:tc>
        <w:tc>
          <w:tcPr>
            <w:tcW w:type="dxa" w:w="2376"/>
            <w:vAlign w:val="center"/>
          </w:tcPr>
          <w:p>
            <w:pPr>
              <w:spacing w:after="0"/>
              <w:jc w:val="center"/>
            </w:pPr>
            <w:r/>
            <w:r>
              <w:rPr>
                <w:rFonts w:ascii="Calibri" w:hAnsi="Calibri" w:eastAsia="宋体"/>
                <w:b w:val="0"/>
                <w:sz w:val="18"/>
              </w:rPr>
              <w:t>223008.08 ± 9144.52</w:t>
            </w:r>
          </w:p>
        </w:tc>
        <w:tc>
          <w:tcPr>
            <w:tcW w:type="dxa" w:w="2376"/>
            <w:vAlign w:val="center"/>
          </w:tcPr>
          <w:p>
            <w:pPr>
              <w:spacing w:after="0"/>
              <w:jc w:val="center"/>
            </w:pPr>
            <w:r/>
            <w:r>
              <w:rPr>
                <w:rFonts w:ascii="Calibri" w:hAnsi="Calibri" w:eastAsia="宋体"/>
                <w:b w:val="0"/>
                <w:sz w:val="18"/>
              </w:rPr>
              <w:t>363.41 ± 6.78</w:t>
            </w:r>
          </w:p>
        </w:tc>
        <w:tc>
          <w:tcPr>
            <w:tcW w:type="dxa" w:w="1008"/>
            <w:vAlign w:val="center"/>
          </w:tcPr>
          <w:p>
            <w:pPr>
              <w:spacing w:after="0"/>
              <w:jc w:val="center"/>
            </w:pPr>
            <w:r/>
            <w:r>
              <w:rPr>
                <w:rFonts w:ascii="Calibri" w:hAnsi="Calibri" w:eastAsia="宋体"/>
                <w:b w:val="0"/>
                <w:sz w:val="18"/>
              </w:rPr>
              <w:t>5</w:t>
            </w:r>
          </w:p>
        </w:tc>
      </w:tr>
      <w:tr>
        <w:tc>
          <w:tcPr>
            <w:tcW w:type="dxa" w:w="1656"/>
            <w:vAlign w:val="center"/>
          </w:tcPr>
          <w:p>
            <w:pPr>
              <w:spacing w:after="0"/>
              <w:jc w:val="center"/>
            </w:pPr>
            <w:r/>
            <w:r>
              <w:rPr>
                <w:rFonts w:ascii="Calibri" w:hAnsi="Calibri" w:eastAsia="宋体"/>
                <w:b w:val="0"/>
                <w:sz w:val="18"/>
              </w:rPr>
              <w:t>Transformer</w:t>
            </w:r>
          </w:p>
        </w:tc>
        <w:tc>
          <w:tcPr>
            <w:tcW w:type="dxa" w:w="1440"/>
            <w:vAlign w:val="center"/>
          </w:tcPr>
          <w:p>
            <w:pPr>
              <w:spacing w:after="0"/>
              <w:jc w:val="center"/>
            </w:pPr>
            <w:r/>
            <w:r>
              <w:rPr>
                <w:rFonts w:ascii="Calibri" w:hAnsi="Calibri" w:eastAsia="宋体"/>
                <w:b w:val="0"/>
                <w:sz w:val="18"/>
              </w:rPr>
              <w:t>90</w:t>
            </w:r>
          </w:p>
        </w:tc>
        <w:tc>
          <w:tcPr>
            <w:tcW w:type="dxa" w:w="2376"/>
            <w:vAlign w:val="center"/>
          </w:tcPr>
          <w:p>
            <w:pPr>
              <w:spacing w:after="0"/>
              <w:jc w:val="center"/>
            </w:pPr>
            <w:r/>
            <w:r>
              <w:rPr>
                <w:rFonts w:ascii="Calibri" w:hAnsi="Calibri" w:eastAsia="宋体"/>
                <w:b w:val="0"/>
                <w:sz w:val="18"/>
              </w:rPr>
              <w:t>199242.40 ± 26144.48</w:t>
            </w:r>
          </w:p>
        </w:tc>
        <w:tc>
          <w:tcPr>
            <w:tcW w:type="dxa" w:w="2376"/>
            <w:vAlign w:val="center"/>
          </w:tcPr>
          <w:p>
            <w:pPr>
              <w:spacing w:after="0"/>
              <w:jc w:val="center"/>
            </w:pPr>
            <w:r/>
            <w:r>
              <w:rPr>
                <w:rFonts w:ascii="Calibri" w:hAnsi="Calibri" w:eastAsia="宋体"/>
                <w:b w:val="0"/>
                <w:sz w:val="18"/>
              </w:rPr>
              <w:t>347.25 ± 21.00</w:t>
            </w:r>
          </w:p>
        </w:tc>
        <w:tc>
          <w:tcPr>
            <w:tcW w:type="dxa" w:w="1008"/>
            <w:vAlign w:val="center"/>
          </w:tcPr>
          <w:p>
            <w:pPr>
              <w:spacing w:after="0"/>
              <w:jc w:val="center"/>
            </w:pPr>
            <w:r/>
            <w:r>
              <w:rPr>
                <w:rFonts w:ascii="Calibri" w:hAnsi="Calibri" w:eastAsia="宋体"/>
                <w:b w:val="0"/>
                <w:sz w:val="18"/>
              </w:rPr>
              <w:t>5</w:t>
            </w:r>
          </w:p>
        </w:tc>
      </w:tr>
      <w:tr>
        <w:tc>
          <w:tcPr>
            <w:tcW w:type="dxa" w:w="1656"/>
            <w:vAlign w:val="center"/>
          </w:tcPr>
          <w:p>
            <w:pPr>
              <w:spacing w:after="0"/>
              <w:jc w:val="center"/>
            </w:pPr>
            <w:r/>
            <w:r>
              <w:rPr>
                <w:rFonts w:ascii="Calibri" w:hAnsi="Calibri" w:eastAsia="宋体"/>
                <w:b w:val="0"/>
                <w:sz w:val="18"/>
              </w:rPr>
              <w:t>PVG-iTransformer</w:t>
            </w:r>
          </w:p>
        </w:tc>
        <w:tc>
          <w:tcPr>
            <w:tcW w:type="dxa" w:w="1440"/>
            <w:vAlign w:val="center"/>
          </w:tcPr>
          <w:p>
            <w:pPr>
              <w:spacing w:after="0"/>
              <w:jc w:val="center"/>
            </w:pPr>
            <w:r/>
            <w:r>
              <w:rPr>
                <w:rFonts w:ascii="Calibri" w:hAnsi="Calibri" w:eastAsia="宋体"/>
                <w:b w:val="0"/>
                <w:sz w:val="18"/>
              </w:rPr>
              <w:t>90</w:t>
            </w:r>
          </w:p>
        </w:tc>
        <w:tc>
          <w:tcPr>
            <w:tcW w:type="dxa" w:w="2376"/>
            <w:vAlign w:val="center"/>
          </w:tcPr>
          <w:p>
            <w:pPr>
              <w:spacing w:after="0"/>
              <w:jc w:val="center"/>
            </w:pPr>
            <w:r/>
            <w:r>
              <w:rPr>
                <w:rFonts w:ascii="Calibri" w:hAnsi="Calibri" w:eastAsia="宋体"/>
                <w:b w:val="0"/>
                <w:sz w:val="18"/>
              </w:rPr>
              <w:t>158417.61 ± 8465.36</w:t>
            </w:r>
          </w:p>
        </w:tc>
        <w:tc>
          <w:tcPr>
            <w:tcW w:type="dxa" w:w="2376"/>
            <w:vAlign w:val="center"/>
          </w:tcPr>
          <w:p>
            <w:pPr>
              <w:spacing w:after="0"/>
              <w:jc w:val="center"/>
            </w:pPr>
            <w:r/>
            <w:r>
              <w:rPr>
                <w:rFonts w:ascii="Calibri" w:hAnsi="Calibri" w:eastAsia="宋体"/>
                <w:b w:val="0"/>
                <w:sz w:val="18"/>
              </w:rPr>
              <w:t>306.67 ± 8.36</w:t>
            </w:r>
          </w:p>
        </w:tc>
        <w:tc>
          <w:tcPr>
            <w:tcW w:type="dxa" w:w="1008"/>
            <w:vAlign w:val="center"/>
          </w:tcPr>
          <w:p>
            <w:pPr>
              <w:spacing w:after="0"/>
              <w:jc w:val="center"/>
            </w:pPr>
            <w:r/>
            <w:r>
              <w:rPr>
                <w:rFonts w:ascii="Calibri" w:hAnsi="Calibri" w:eastAsia="宋体"/>
                <w:b w:val="0"/>
                <w:sz w:val="18"/>
              </w:rPr>
              <w:t>5</w:t>
            </w:r>
          </w:p>
        </w:tc>
      </w:tr>
      <w:tr>
        <w:tc>
          <w:tcPr>
            <w:tcW w:type="dxa" w:w="1656"/>
            <w:vAlign w:val="center"/>
          </w:tcPr>
          <w:p>
            <w:pPr>
              <w:spacing w:after="0"/>
              <w:jc w:val="center"/>
            </w:pPr>
            <w:r/>
            <w:r>
              <w:rPr>
                <w:rFonts w:ascii="Calibri" w:hAnsi="Calibri" w:eastAsia="宋体"/>
                <w:b w:val="0"/>
                <w:sz w:val="18"/>
              </w:rPr>
              <w:t>LSTM</w:t>
            </w:r>
          </w:p>
        </w:tc>
        <w:tc>
          <w:tcPr>
            <w:tcW w:type="dxa" w:w="1440"/>
            <w:vAlign w:val="center"/>
          </w:tcPr>
          <w:p>
            <w:pPr>
              <w:spacing w:after="0"/>
              <w:jc w:val="center"/>
            </w:pPr>
            <w:r/>
            <w:r>
              <w:rPr>
                <w:rFonts w:ascii="Calibri" w:hAnsi="Calibri" w:eastAsia="宋体"/>
                <w:b w:val="0"/>
                <w:sz w:val="18"/>
              </w:rPr>
              <w:t>365</w:t>
            </w:r>
          </w:p>
        </w:tc>
        <w:tc>
          <w:tcPr>
            <w:tcW w:type="dxa" w:w="2376"/>
            <w:vAlign w:val="center"/>
          </w:tcPr>
          <w:p>
            <w:pPr>
              <w:spacing w:after="0"/>
              <w:jc w:val="center"/>
            </w:pPr>
            <w:r/>
            <w:r>
              <w:rPr>
                <w:rFonts w:ascii="Calibri" w:hAnsi="Calibri" w:eastAsia="宋体"/>
                <w:b w:val="0"/>
                <w:sz w:val="18"/>
              </w:rPr>
              <w:t>178906.30 ± 5968.40</w:t>
            </w:r>
          </w:p>
        </w:tc>
        <w:tc>
          <w:tcPr>
            <w:tcW w:type="dxa" w:w="2376"/>
            <w:vAlign w:val="center"/>
          </w:tcPr>
          <w:p>
            <w:pPr>
              <w:spacing w:after="0"/>
              <w:jc w:val="center"/>
            </w:pPr>
            <w:r/>
            <w:r>
              <w:rPr>
                <w:rFonts w:ascii="Calibri" w:hAnsi="Calibri" w:eastAsia="宋体"/>
                <w:b w:val="0"/>
                <w:sz w:val="18"/>
              </w:rPr>
              <w:t>331.87 ± 4.66</w:t>
            </w:r>
          </w:p>
        </w:tc>
        <w:tc>
          <w:tcPr>
            <w:tcW w:type="dxa" w:w="1008"/>
            <w:vAlign w:val="center"/>
          </w:tcPr>
          <w:p>
            <w:pPr>
              <w:spacing w:after="0"/>
              <w:jc w:val="center"/>
            </w:pPr>
            <w:r/>
            <w:r>
              <w:rPr>
                <w:rFonts w:ascii="Calibri" w:hAnsi="Calibri" w:eastAsia="宋体"/>
                <w:b w:val="0"/>
                <w:sz w:val="18"/>
              </w:rPr>
              <w:t>5</w:t>
            </w:r>
          </w:p>
        </w:tc>
      </w:tr>
      <w:tr>
        <w:tc>
          <w:tcPr>
            <w:tcW w:type="dxa" w:w="1656"/>
            <w:vAlign w:val="center"/>
          </w:tcPr>
          <w:p>
            <w:pPr>
              <w:spacing w:after="0"/>
              <w:jc w:val="center"/>
            </w:pPr>
            <w:r/>
            <w:r>
              <w:rPr>
                <w:rFonts w:ascii="Calibri" w:hAnsi="Calibri" w:eastAsia="宋体"/>
                <w:b w:val="0"/>
                <w:sz w:val="18"/>
              </w:rPr>
              <w:t>Transformer</w:t>
            </w:r>
          </w:p>
        </w:tc>
        <w:tc>
          <w:tcPr>
            <w:tcW w:type="dxa" w:w="1440"/>
            <w:vAlign w:val="center"/>
          </w:tcPr>
          <w:p>
            <w:pPr>
              <w:spacing w:after="0"/>
              <w:jc w:val="center"/>
            </w:pPr>
            <w:r/>
            <w:r>
              <w:rPr>
                <w:rFonts w:ascii="Calibri" w:hAnsi="Calibri" w:eastAsia="宋体"/>
                <w:b w:val="0"/>
                <w:sz w:val="18"/>
              </w:rPr>
              <w:t>365</w:t>
            </w:r>
          </w:p>
        </w:tc>
        <w:tc>
          <w:tcPr>
            <w:tcW w:type="dxa" w:w="2376"/>
            <w:vAlign w:val="center"/>
          </w:tcPr>
          <w:p>
            <w:pPr>
              <w:spacing w:after="0"/>
              <w:jc w:val="center"/>
            </w:pPr>
            <w:r/>
            <w:r>
              <w:rPr>
                <w:rFonts w:ascii="Calibri" w:hAnsi="Calibri" w:eastAsia="宋体"/>
                <w:b w:val="0"/>
                <w:sz w:val="18"/>
              </w:rPr>
              <w:t>212223.64 ± 10390.71</w:t>
            </w:r>
          </w:p>
        </w:tc>
        <w:tc>
          <w:tcPr>
            <w:tcW w:type="dxa" w:w="2376"/>
            <w:vAlign w:val="center"/>
          </w:tcPr>
          <w:p>
            <w:pPr>
              <w:spacing w:after="0"/>
              <w:jc w:val="center"/>
            </w:pPr>
            <w:r/>
            <w:r>
              <w:rPr>
                <w:rFonts w:ascii="Calibri" w:hAnsi="Calibri" w:eastAsia="宋体"/>
                <w:b w:val="0"/>
                <w:sz w:val="18"/>
              </w:rPr>
              <w:t>365.19 ± 10.46</w:t>
            </w:r>
          </w:p>
        </w:tc>
        <w:tc>
          <w:tcPr>
            <w:tcW w:type="dxa" w:w="1008"/>
            <w:vAlign w:val="center"/>
          </w:tcPr>
          <w:p>
            <w:pPr>
              <w:spacing w:after="0"/>
              <w:jc w:val="center"/>
            </w:pPr>
            <w:r/>
            <w:r>
              <w:rPr>
                <w:rFonts w:ascii="Calibri" w:hAnsi="Calibri" w:eastAsia="宋体"/>
                <w:b w:val="0"/>
                <w:sz w:val="18"/>
              </w:rPr>
              <w:t>5</w:t>
            </w:r>
          </w:p>
        </w:tc>
      </w:tr>
      <w:tr>
        <w:tc>
          <w:tcPr>
            <w:tcW w:type="dxa" w:w="1656"/>
            <w:vAlign w:val="center"/>
          </w:tcPr>
          <w:p>
            <w:pPr>
              <w:spacing w:after="0"/>
              <w:jc w:val="center"/>
            </w:pPr>
            <w:r/>
            <w:r>
              <w:rPr>
                <w:rFonts w:ascii="Calibri" w:hAnsi="Calibri" w:eastAsia="宋体"/>
                <w:b w:val="0"/>
                <w:sz w:val="18"/>
              </w:rPr>
              <w:t>PVG-iTransformer</w:t>
            </w:r>
          </w:p>
        </w:tc>
        <w:tc>
          <w:tcPr>
            <w:tcW w:type="dxa" w:w="1440"/>
            <w:vAlign w:val="center"/>
          </w:tcPr>
          <w:p>
            <w:pPr>
              <w:spacing w:after="0"/>
              <w:jc w:val="center"/>
            </w:pPr>
            <w:r/>
            <w:r>
              <w:rPr>
                <w:rFonts w:ascii="Calibri" w:hAnsi="Calibri" w:eastAsia="宋体"/>
                <w:b w:val="0"/>
                <w:sz w:val="18"/>
              </w:rPr>
              <w:t>365</w:t>
            </w:r>
          </w:p>
        </w:tc>
        <w:tc>
          <w:tcPr>
            <w:tcW w:type="dxa" w:w="2376"/>
            <w:vAlign w:val="center"/>
          </w:tcPr>
          <w:p>
            <w:pPr>
              <w:spacing w:after="0"/>
              <w:jc w:val="center"/>
            </w:pPr>
            <w:r/>
            <w:r>
              <w:rPr>
                <w:rFonts w:ascii="Calibri" w:hAnsi="Calibri" w:eastAsia="宋体"/>
                <w:b w:val="0"/>
                <w:sz w:val="18"/>
              </w:rPr>
              <w:t>171061.69 ± 8067.71</w:t>
            </w:r>
          </w:p>
        </w:tc>
        <w:tc>
          <w:tcPr>
            <w:tcW w:type="dxa" w:w="2376"/>
            <w:vAlign w:val="center"/>
          </w:tcPr>
          <w:p>
            <w:pPr>
              <w:spacing w:after="0"/>
              <w:jc w:val="center"/>
            </w:pPr>
            <w:r/>
            <w:r>
              <w:rPr>
                <w:rFonts w:ascii="Calibri" w:hAnsi="Calibri" w:eastAsia="宋体"/>
                <w:b w:val="0"/>
                <w:sz w:val="18"/>
              </w:rPr>
              <w:t>322.16 ± 7.42</w:t>
            </w:r>
          </w:p>
        </w:tc>
        <w:tc>
          <w:tcPr>
            <w:tcW w:type="dxa" w:w="1008"/>
            <w:vAlign w:val="center"/>
          </w:tcPr>
          <w:p>
            <w:pPr>
              <w:spacing w:after="0"/>
              <w:jc w:val="center"/>
            </w:pPr>
            <w:r/>
            <w:r>
              <w:rPr>
                <w:rFonts w:ascii="Calibri" w:hAnsi="Calibri" w:eastAsia="宋体"/>
                <w:b w:val="0"/>
                <w:sz w:val="18"/>
              </w:rPr>
              <w:t>5</w:t>
            </w:r>
          </w:p>
        </w:tc>
      </w:tr>
    </w:tbl>
    <w:p>
      <w:pPr>
        <w:spacing w:after="160"/>
        <w:jc w:val="center"/>
      </w:pPr>
      <w:r>
        <w:rPr>
          <w:rFonts w:ascii="Calibri" w:hAnsi="Calibri" w:eastAsia="宋体"/>
          <w:sz w:val="18"/>
        </w:rPr>
        <w:t>表 5 三种主模型五轮实验平均结果</w:t>
      </w:r>
    </w:p>
    <w:p>
      <w:r>
        <w:drawing>
          <wp:inline xmlns:a="http://schemas.openxmlformats.org/drawingml/2006/main" xmlns:pic="http://schemas.openxmlformats.org/drawingml/2006/picture">
            <wp:extent cx="5303520" cy="2661805"/>
            <wp:docPr id="1" name="Picture 1"/>
            <wp:cNvGraphicFramePr>
              <a:graphicFrameLocks noChangeAspect="1"/>
            </wp:cNvGraphicFramePr>
            <a:graphic>
              <a:graphicData uri="http://schemas.openxmlformats.org/drawingml/2006/picture">
                <pic:pic>
                  <pic:nvPicPr>
                    <pic:cNvPr id="0" name="metrics_summary_table.png"/>
                    <pic:cNvPicPr/>
                  </pic:nvPicPr>
                  <pic:blipFill>
                    <a:blip r:embed="rId9"/>
                    <a:stretch>
                      <a:fillRect/>
                    </a:stretch>
                  </pic:blipFill>
                  <pic:spPr>
                    <a:xfrm>
                      <a:off x="0" y="0"/>
                      <a:ext cx="5303520" cy="2661805"/>
                    </a:xfrm>
                    <a:prstGeom prst="rect"/>
                  </pic:spPr>
                </pic:pic>
              </a:graphicData>
            </a:graphic>
          </wp:inline>
        </w:drawing>
      </w:r>
    </w:p>
    <w:p>
      <w:pPr>
        <w:spacing w:after="160"/>
        <w:jc w:val="center"/>
      </w:pPr>
      <w:r>
        <w:rPr>
          <w:rFonts w:ascii="Calibri" w:hAnsi="Calibri" w:eastAsia="宋体"/>
          <w:sz w:val="18"/>
        </w:rPr>
        <w:t>图 1 主实验与消融实验结果汇总截图</w:t>
      </w:r>
    </w:p>
    <w:p>
      <w:pPr>
        <w:spacing w:after="120" w:line="264" w:lineRule="auto"/>
        <w:ind w:firstLine="440"/>
        <w:jc w:val="left"/>
      </w:pPr>
      <w:r>
        <w:rPr>
          <w:rFonts w:ascii="Calibri" w:hAnsi="Calibri" w:eastAsia="宋体"/>
          <w:sz w:val="22"/>
        </w:rPr>
        <w:t>从表 5 可以看出，90 天短期预测中，PVG-iTransformer 的 MSE 为 158417.61，MAE 为 306.67，均为三种主模型最低。相对于标准 Transformer，PVG 的 MSE 低 20.49%、MAE 低 11.69%；相对于 LSTM，PVG 的 MSE 低 28.96%、MAE 低 15.61%。这说明短期任务中，周级 patch 对近期趋势的刻画和变量分支对跨变量关系的建模共同降低了平均误差。</w:t>
      </w:r>
    </w:p>
    <w:p>
      <w:pPr>
        <w:spacing w:after="120" w:line="264" w:lineRule="auto"/>
        <w:ind w:firstLine="440"/>
        <w:jc w:val="left"/>
      </w:pPr>
      <w:r>
        <w:rPr>
          <w:rFonts w:ascii="Calibri" w:hAnsi="Calibri" w:eastAsia="宋体"/>
          <w:sz w:val="22"/>
        </w:rPr>
        <w:t>365 天长期预测中，PVG-iTransformer 的 MSE 为 171061.69，MAE 为 322.16，同样为三种主模型最低。相对于 LSTM，PVG 的 MSE 低 4.38%、MAE 低 2.93%；相对于标准 Transformer，PVG 的 MSE 低 19.40%、MAE 低 11.78%。长期预测需要一次性输出 365 个未来点，训练窗口比 90 天任务更少，因此整体更难；PVG 在该任务上仍优于两个基线，说明其双视角 token 构造对长期季节轮廓也有帮助。</w:t>
      </w:r>
    </w:p>
    <w:p>
      <w:pPr>
        <w:spacing w:after="120" w:line="264" w:lineRule="auto"/>
        <w:ind w:firstLine="440"/>
        <w:jc w:val="left"/>
      </w:pPr>
      <w:r>
        <w:rPr>
          <w:rFonts w:ascii="Calibri" w:hAnsi="Calibri" w:eastAsia="宋体"/>
          <w:sz w:val="22"/>
        </w:rPr>
        <w:t>需要注意，课程要求对 global_active_power 按天求和，因此 MSE 在日累积尺度上计算，数值看起来较大。这些 MSE 对应的 RMSE 约为 389.83 至 472.24；若按 kWh 近似折算，即除以 60，约为 6.50 至 7.87 kWh。因此评价时不能只看 MSE 绝对值，也应同时看 MAE、RMSE 以及不同模型之间的相对差异。</w:t>
      </w:r>
    </w:p>
    <w:p>
      <w:r>
        <w:br w:type="page"/>
      </w:r>
    </w:p>
    <w:p>
      <w:pPr>
        <w:pStyle w:val="Heading2"/>
      </w:pPr>
      <w:r>
        <w:t>3.1 PVG-iTransformer 消融实验</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88"/>
            <w:vAlign w:val="center"/>
            <w:shd w:fill="F2F4F7"/>
          </w:tcPr>
          <w:p>
            <w:pPr>
              <w:spacing w:after="0"/>
              <w:jc w:val="center"/>
            </w:pPr>
            <w:r/>
            <w:r>
              <w:rPr>
                <w:rFonts w:ascii="Calibri" w:hAnsi="Calibri" w:eastAsia="宋体"/>
                <w:b/>
                <w:sz w:val="18"/>
              </w:rPr>
              <w:t>PVG 变体</w:t>
            </w:r>
          </w:p>
        </w:tc>
        <w:tc>
          <w:tcPr>
            <w:tcW w:type="dxa" w:w="1152"/>
            <w:vAlign w:val="center"/>
            <w:shd w:fill="F2F4F7"/>
          </w:tcPr>
          <w:p>
            <w:pPr>
              <w:spacing w:after="0"/>
              <w:jc w:val="center"/>
            </w:pPr>
            <w:r/>
            <w:r>
              <w:rPr>
                <w:rFonts w:ascii="Calibri" w:hAnsi="Calibri" w:eastAsia="宋体"/>
                <w:b/>
                <w:sz w:val="18"/>
              </w:rPr>
              <w:t>预测天数</w:t>
            </w:r>
          </w:p>
        </w:tc>
        <w:tc>
          <w:tcPr>
            <w:tcW w:type="dxa" w:w="2088"/>
            <w:vAlign w:val="center"/>
            <w:shd w:fill="F2F4F7"/>
          </w:tcPr>
          <w:p>
            <w:pPr>
              <w:spacing w:after="0"/>
              <w:jc w:val="center"/>
            </w:pPr>
            <w:r/>
            <w:r>
              <w:rPr>
                <w:rFonts w:ascii="Calibri" w:hAnsi="Calibri" w:eastAsia="宋体"/>
                <w:b/>
                <w:sz w:val="18"/>
              </w:rPr>
              <w:t>MSE 均值±std</w:t>
            </w:r>
          </w:p>
        </w:tc>
        <w:tc>
          <w:tcPr>
            <w:tcW w:type="dxa" w:w="2088"/>
            <w:vAlign w:val="center"/>
            <w:shd w:fill="F2F4F7"/>
          </w:tcPr>
          <w:p>
            <w:pPr>
              <w:spacing w:after="0"/>
              <w:jc w:val="center"/>
            </w:pPr>
            <w:r/>
            <w:r>
              <w:rPr>
                <w:rFonts w:ascii="Calibri" w:hAnsi="Calibri" w:eastAsia="宋体"/>
                <w:b/>
                <w:sz w:val="18"/>
              </w:rPr>
              <w:t>MAE 均值±std</w:t>
            </w:r>
          </w:p>
        </w:tc>
        <w:tc>
          <w:tcPr>
            <w:tcW w:type="dxa" w:w="1800"/>
            <w:vAlign w:val="center"/>
            <w:shd w:fill="F2F4F7"/>
          </w:tcPr>
          <w:p>
            <w:pPr>
              <w:spacing w:after="0"/>
              <w:jc w:val="center"/>
            </w:pPr>
            <w:r/>
            <w:r>
              <w:rPr>
                <w:rFonts w:ascii="Calibri" w:hAnsi="Calibri" w:eastAsia="宋体"/>
                <w:b/>
                <w:sz w:val="18"/>
              </w:rPr>
              <w:t>相对完整 PVG 的 MSE</w:t>
            </w:r>
          </w:p>
        </w:tc>
      </w:tr>
      <w:tr>
        <w:tc>
          <w:tcPr>
            <w:tcW w:type="dxa" w:w="2088"/>
            <w:vAlign w:val="center"/>
          </w:tcPr>
          <w:p>
            <w:pPr>
              <w:spacing w:after="0"/>
              <w:jc w:val="center"/>
            </w:pPr>
            <w:r/>
            <w:r>
              <w:rPr>
                <w:rFonts w:ascii="Calibri" w:hAnsi="Calibri" w:eastAsia="宋体"/>
                <w:b w:val="0"/>
                <w:sz w:val="18"/>
              </w:rPr>
              <w:t>PVG-iTransformer</w:t>
            </w:r>
          </w:p>
        </w:tc>
        <w:tc>
          <w:tcPr>
            <w:tcW w:type="dxa" w:w="1152"/>
            <w:vAlign w:val="center"/>
          </w:tcPr>
          <w:p>
            <w:pPr>
              <w:spacing w:after="0"/>
              <w:jc w:val="center"/>
            </w:pPr>
            <w:r/>
            <w:r>
              <w:rPr>
                <w:rFonts w:ascii="Calibri" w:hAnsi="Calibri" w:eastAsia="宋体"/>
                <w:b w:val="0"/>
                <w:sz w:val="18"/>
              </w:rPr>
              <w:t>90</w:t>
            </w:r>
          </w:p>
        </w:tc>
        <w:tc>
          <w:tcPr>
            <w:tcW w:type="dxa" w:w="2088"/>
            <w:vAlign w:val="center"/>
          </w:tcPr>
          <w:p>
            <w:pPr>
              <w:spacing w:after="0"/>
              <w:jc w:val="center"/>
            </w:pPr>
            <w:r/>
            <w:r>
              <w:rPr>
                <w:rFonts w:ascii="Calibri" w:hAnsi="Calibri" w:eastAsia="宋体"/>
                <w:b w:val="0"/>
                <w:sz w:val="18"/>
              </w:rPr>
              <w:t>158417.61 ± 8465.36</w:t>
            </w:r>
          </w:p>
        </w:tc>
        <w:tc>
          <w:tcPr>
            <w:tcW w:type="dxa" w:w="2088"/>
            <w:vAlign w:val="center"/>
          </w:tcPr>
          <w:p>
            <w:pPr>
              <w:spacing w:after="0"/>
              <w:jc w:val="center"/>
            </w:pPr>
            <w:r/>
            <w:r>
              <w:rPr>
                <w:rFonts w:ascii="Calibri" w:hAnsi="Calibri" w:eastAsia="宋体"/>
                <w:b w:val="0"/>
                <w:sz w:val="18"/>
              </w:rPr>
              <w:t>306.67 ± 8.36</w:t>
            </w:r>
          </w:p>
        </w:tc>
        <w:tc>
          <w:tcPr>
            <w:tcW w:type="dxa" w:w="1800"/>
            <w:vAlign w:val="center"/>
          </w:tcPr>
          <w:p>
            <w:pPr>
              <w:spacing w:after="0"/>
              <w:jc w:val="center"/>
            </w:pPr>
            <w:r/>
            <w:r>
              <w:rPr>
                <w:rFonts w:ascii="Calibri" w:hAnsi="Calibri" w:eastAsia="宋体"/>
                <w:b w:val="0"/>
                <w:sz w:val="18"/>
              </w:rPr>
              <w:t>基准</w:t>
            </w:r>
          </w:p>
        </w:tc>
      </w:tr>
      <w:tr>
        <w:tc>
          <w:tcPr>
            <w:tcW w:type="dxa" w:w="2088"/>
            <w:vAlign w:val="center"/>
          </w:tcPr>
          <w:p>
            <w:pPr>
              <w:spacing w:after="0"/>
              <w:jc w:val="center"/>
            </w:pPr>
            <w:r/>
            <w:r>
              <w:rPr>
                <w:rFonts w:ascii="Calibri" w:hAnsi="Calibri" w:eastAsia="宋体"/>
                <w:b w:val="0"/>
                <w:sz w:val="18"/>
              </w:rPr>
              <w:t>PVG w/o Time Patch</w:t>
            </w:r>
          </w:p>
        </w:tc>
        <w:tc>
          <w:tcPr>
            <w:tcW w:type="dxa" w:w="1152"/>
            <w:vAlign w:val="center"/>
          </w:tcPr>
          <w:p>
            <w:pPr>
              <w:spacing w:after="0"/>
              <w:jc w:val="center"/>
            </w:pPr>
            <w:r/>
            <w:r>
              <w:rPr>
                <w:rFonts w:ascii="Calibri" w:hAnsi="Calibri" w:eastAsia="宋体"/>
                <w:b w:val="0"/>
                <w:sz w:val="18"/>
              </w:rPr>
              <w:t>90</w:t>
            </w:r>
          </w:p>
        </w:tc>
        <w:tc>
          <w:tcPr>
            <w:tcW w:type="dxa" w:w="2088"/>
            <w:vAlign w:val="center"/>
          </w:tcPr>
          <w:p>
            <w:pPr>
              <w:spacing w:after="0"/>
              <w:jc w:val="center"/>
            </w:pPr>
            <w:r/>
            <w:r>
              <w:rPr>
                <w:rFonts w:ascii="Calibri" w:hAnsi="Calibri" w:eastAsia="宋体"/>
                <w:b w:val="0"/>
                <w:sz w:val="18"/>
              </w:rPr>
              <w:t>151969.09 ± 5200.91</w:t>
            </w:r>
          </w:p>
        </w:tc>
        <w:tc>
          <w:tcPr>
            <w:tcW w:type="dxa" w:w="2088"/>
            <w:vAlign w:val="center"/>
          </w:tcPr>
          <w:p>
            <w:pPr>
              <w:spacing w:after="0"/>
              <w:jc w:val="center"/>
            </w:pPr>
            <w:r/>
            <w:r>
              <w:rPr>
                <w:rFonts w:ascii="Calibri" w:hAnsi="Calibri" w:eastAsia="宋体"/>
                <w:b w:val="0"/>
                <w:sz w:val="18"/>
              </w:rPr>
              <w:t>300.90 ± 8.12</w:t>
            </w:r>
          </w:p>
        </w:tc>
        <w:tc>
          <w:tcPr>
            <w:tcW w:type="dxa" w:w="1800"/>
            <w:vAlign w:val="center"/>
          </w:tcPr>
          <w:p>
            <w:pPr>
              <w:spacing w:after="0"/>
              <w:jc w:val="center"/>
            </w:pPr>
            <w:r/>
            <w:r>
              <w:rPr>
                <w:rFonts w:ascii="Calibri" w:hAnsi="Calibri" w:eastAsia="宋体"/>
                <w:b w:val="0"/>
                <w:sz w:val="18"/>
              </w:rPr>
              <w:t>低 4.07%</w:t>
            </w:r>
          </w:p>
        </w:tc>
      </w:tr>
      <w:tr>
        <w:tc>
          <w:tcPr>
            <w:tcW w:type="dxa" w:w="2088"/>
            <w:vAlign w:val="center"/>
          </w:tcPr>
          <w:p>
            <w:pPr>
              <w:spacing w:after="0"/>
              <w:jc w:val="center"/>
            </w:pPr>
            <w:r/>
            <w:r>
              <w:rPr>
                <w:rFonts w:ascii="Calibri" w:hAnsi="Calibri" w:eastAsia="宋体"/>
                <w:b w:val="0"/>
                <w:sz w:val="18"/>
              </w:rPr>
              <w:t>PVG w/o Variable</w:t>
            </w:r>
          </w:p>
        </w:tc>
        <w:tc>
          <w:tcPr>
            <w:tcW w:type="dxa" w:w="1152"/>
            <w:vAlign w:val="center"/>
          </w:tcPr>
          <w:p>
            <w:pPr>
              <w:spacing w:after="0"/>
              <w:jc w:val="center"/>
            </w:pPr>
            <w:r/>
            <w:r>
              <w:rPr>
                <w:rFonts w:ascii="Calibri" w:hAnsi="Calibri" w:eastAsia="宋体"/>
                <w:b w:val="0"/>
                <w:sz w:val="18"/>
              </w:rPr>
              <w:t>90</w:t>
            </w:r>
          </w:p>
        </w:tc>
        <w:tc>
          <w:tcPr>
            <w:tcW w:type="dxa" w:w="2088"/>
            <w:vAlign w:val="center"/>
          </w:tcPr>
          <w:p>
            <w:pPr>
              <w:spacing w:after="0"/>
              <w:jc w:val="center"/>
            </w:pPr>
            <w:r/>
            <w:r>
              <w:rPr>
                <w:rFonts w:ascii="Calibri" w:hAnsi="Calibri" w:eastAsia="宋体"/>
                <w:b w:val="0"/>
                <w:sz w:val="18"/>
              </w:rPr>
              <w:t>169661.53 ± 8063.33</w:t>
            </w:r>
          </w:p>
        </w:tc>
        <w:tc>
          <w:tcPr>
            <w:tcW w:type="dxa" w:w="2088"/>
            <w:vAlign w:val="center"/>
          </w:tcPr>
          <w:p>
            <w:pPr>
              <w:spacing w:after="0"/>
              <w:jc w:val="center"/>
            </w:pPr>
            <w:r/>
            <w:r>
              <w:rPr>
                <w:rFonts w:ascii="Calibri" w:hAnsi="Calibri" w:eastAsia="宋体"/>
                <w:b w:val="0"/>
                <w:sz w:val="18"/>
              </w:rPr>
              <w:t>319.60 ± 7.39</w:t>
            </w:r>
          </w:p>
        </w:tc>
        <w:tc>
          <w:tcPr>
            <w:tcW w:type="dxa" w:w="1800"/>
            <w:vAlign w:val="center"/>
          </w:tcPr>
          <w:p>
            <w:pPr>
              <w:spacing w:after="0"/>
              <w:jc w:val="center"/>
            </w:pPr>
            <w:r/>
            <w:r>
              <w:rPr>
                <w:rFonts w:ascii="Calibri" w:hAnsi="Calibri" w:eastAsia="宋体"/>
                <w:b w:val="0"/>
                <w:sz w:val="18"/>
              </w:rPr>
              <w:t>高 7.10%</w:t>
            </w:r>
          </w:p>
        </w:tc>
      </w:tr>
      <w:tr>
        <w:tc>
          <w:tcPr>
            <w:tcW w:type="dxa" w:w="2088"/>
            <w:vAlign w:val="center"/>
          </w:tcPr>
          <w:p>
            <w:pPr>
              <w:spacing w:after="0"/>
              <w:jc w:val="center"/>
            </w:pPr>
            <w:r/>
            <w:r>
              <w:rPr>
                <w:rFonts w:ascii="Calibri" w:hAnsi="Calibri" w:eastAsia="宋体"/>
                <w:b w:val="0"/>
                <w:sz w:val="18"/>
              </w:rPr>
              <w:t>PVG w/o Gate</w:t>
            </w:r>
          </w:p>
        </w:tc>
        <w:tc>
          <w:tcPr>
            <w:tcW w:type="dxa" w:w="1152"/>
            <w:vAlign w:val="center"/>
          </w:tcPr>
          <w:p>
            <w:pPr>
              <w:spacing w:after="0"/>
              <w:jc w:val="center"/>
            </w:pPr>
            <w:r/>
            <w:r>
              <w:rPr>
                <w:rFonts w:ascii="Calibri" w:hAnsi="Calibri" w:eastAsia="宋体"/>
                <w:b w:val="0"/>
                <w:sz w:val="18"/>
              </w:rPr>
              <w:t>90</w:t>
            </w:r>
          </w:p>
        </w:tc>
        <w:tc>
          <w:tcPr>
            <w:tcW w:type="dxa" w:w="2088"/>
            <w:vAlign w:val="center"/>
          </w:tcPr>
          <w:p>
            <w:pPr>
              <w:spacing w:after="0"/>
              <w:jc w:val="center"/>
            </w:pPr>
            <w:r/>
            <w:r>
              <w:rPr>
                <w:rFonts w:ascii="Calibri" w:hAnsi="Calibri" w:eastAsia="宋体"/>
                <w:b w:val="0"/>
                <w:sz w:val="18"/>
              </w:rPr>
              <w:t>158172.00 ± 4903.71</w:t>
            </w:r>
          </w:p>
        </w:tc>
        <w:tc>
          <w:tcPr>
            <w:tcW w:type="dxa" w:w="2088"/>
            <w:vAlign w:val="center"/>
          </w:tcPr>
          <w:p>
            <w:pPr>
              <w:spacing w:after="0"/>
              <w:jc w:val="center"/>
            </w:pPr>
            <w:r/>
            <w:r>
              <w:rPr>
                <w:rFonts w:ascii="Calibri" w:hAnsi="Calibri" w:eastAsia="宋体"/>
                <w:b w:val="0"/>
                <w:sz w:val="18"/>
              </w:rPr>
              <w:t>307.57 ± 5.36</w:t>
            </w:r>
          </w:p>
        </w:tc>
        <w:tc>
          <w:tcPr>
            <w:tcW w:type="dxa" w:w="1800"/>
            <w:vAlign w:val="center"/>
          </w:tcPr>
          <w:p>
            <w:pPr>
              <w:spacing w:after="0"/>
              <w:jc w:val="center"/>
            </w:pPr>
            <w:r/>
            <w:r>
              <w:rPr>
                <w:rFonts w:ascii="Calibri" w:hAnsi="Calibri" w:eastAsia="宋体"/>
                <w:b w:val="0"/>
                <w:sz w:val="18"/>
              </w:rPr>
              <w:t>低 0.16%</w:t>
            </w:r>
          </w:p>
        </w:tc>
      </w:tr>
      <w:tr>
        <w:tc>
          <w:tcPr>
            <w:tcW w:type="dxa" w:w="2088"/>
            <w:vAlign w:val="center"/>
          </w:tcPr>
          <w:p>
            <w:pPr>
              <w:spacing w:after="0"/>
              <w:jc w:val="center"/>
            </w:pPr>
            <w:r/>
            <w:r>
              <w:rPr>
                <w:rFonts w:ascii="Calibri" w:hAnsi="Calibri" w:eastAsia="宋体"/>
                <w:b w:val="0"/>
                <w:sz w:val="18"/>
              </w:rPr>
              <w:t>PVG-iTransformer</w:t>
            </w:r>
          </w:p>
        </w:tc>
        <w:tc>
          <w:tcPr>
            <w:tcW w:type="dxa" w:w="1152"/>
            <w:vAlign w:val="center"/>
          </w:tcPr>
          <w:p>
            <w:pPr>
              <w:spacing w:after="0"/>
              <w:jc w:val="center"/>
            </w:pPr>
            <w:r/>
            <w:r>
              <w:rPr>
                <w:rFonts w:ascii="Calibri" w:hAnsi="Calibri" w:eastAsia="宋体"/>
                <w:b w:val="0"/>
                <w:sz w:val="18"/>
              </w:rPr>
              <w:t>365</w:t>
            </w:r>
          </w:p>
        </w:tc>
        <w:tc>
          <w:tcPr>
            <w:tcW w:type="dxa" w:w="2088"/>
            <w:vAlign w:val="center"/>
          </w:tcPr>
          <w:p>
            <w:pPr>
              <w:spacing w:after="0"/>
              <w:jc w:val="center"/>
            </w:pPr>
            <w:r/>
            <w:r>
              <w:rPr>
                <w:rFonts w:ascii="Calibri" w:hAnsi="Calibri" w:eastAsia="宋体"/>
                <w:b w:val="0"/>
                <w:sz w:val="18"/>
              </w:rPr>
              <w:t>171061.69 ± 8067.71</w:t>
            </w:r>
          </w:p>
        </w:tc>
        <w:tc>
          <w:tcPr>
            <w:tcW w:type="dxa" w:w="2088"/>
            <w:vAlign w:val="center"/>
          </w:tcPr>
          <w:p>
            <w:pPr>
              <w:spacing w:after="0"/>
              <w:jc w:val="center"/>
            </w:pPr>
            <w:r/>
            <w:r>
              <w:rPr>
                <w:rFonts w:ascii="Calibri" w:hAnsi="Calibri" w:eastAsia="宋体"/>
                <w:b w:val="0"/>
                <w:sz w:val="18"/>
              </w:rPr>
              <w:t>322.16 ± 7.42</w:t>
            </w:r>
          </w:p>
        </w:tc>
        <w:tc>
          <w:tcPr>
            <w:tcW w:type="dxa" w:w="1800"/>
            <w:vAlign w:val="center"/>
          </w:tcPr>
          <w:p>
            <w:pPr>
              <w:spacing w:after="0"/>
              <w:jc w:val="center"/>
            </w:pPr>
            <w:r/>
            <w:r>
              <w:rPr>
                <w:rFonts w:ascii="Calibri" w:hAnsi="Calibri" w:eastAsia="宋体"/>
                <w:b w:val="0"/>
                <w:sz w:val="18"/>
              </w:rPr>
              <w:t>基准</w:t>
            </w:r>
          </w:p>
        </w:tc>
      </w:tr>
      <w:tr>
        <w:tc>
          <w:tcPr>
            <w:tcW w:type="dxa" w:w="2088"/>
            <w:vAlign w:val="center"/>
          </w:tcPr>
          <w:p>
            <w:pPr>
              <w:spacing w:after="0"/>
              <w:jc w:val="center"/>
            </w:pPr>
            <w:r/>
            <w:r>
              <w:rPr>
                <w:rFonts w:ascii="Calibri" w:hAnsi="Calibri" w:eastAsia="宋体"/>
                <w:b w:val="0"/>
                <w:sz w:val="18"/>
              </w:rPr>
              <w:t>PVG w/o Time Patch</w:t>
            </w:r>
          </w:p>
        </w:tc>
        <w:tc>
          <w:tcPr>
            <w:tcW w:type="dxa" w:w="1152"/>
            <w:vAlign w:val="center"/>
          </w:tcPr>
          <w:p>
            <w:pPr>
              <w:spacing w:after="0"/>
              <w:jc w:val="center"/>
            </w:pPr>
            <w:r/>
            <w:r>
              <w:rPr>
                <w:rFonts w:ascii="Calibri" w:hAnsi="Calibri" w:eastAsia="宋体"/>
                <w:b w:val="0"/>
                <w:sz w:val="18"/>
              </w:rPr>
              <w:t>365</w:t>
            </w:r>
          </w:p>
        </w:tc>
        <w:tc>
          <w:tcPr>
            <w:tcW w:type="dxa" w:w="2088"/>
            <w:vAlign w:val="center"/>
          </w:tcPr>
          <w:p>
            <w:pPr>
              <w:spacing w:after="0"/>
              <w:jc w:val="center"/>
            </w:pPr>
            <w:r/>
            <w:r>
              <w:rPr>
                <w:rFonts w:ascii="Calibri" w:hAnsi="Calibri" w:eastAsia="宋体"/>
                <w:b w:val="0"/>
                <w:sz w:val="18"/>
              </w:rPr>
              <w:t>158587.36 ± 9446.71</w:t>
            </w:r>
          </w:p>
        </w:tc>
        <w:tc>
          <w:tcPr>
            <w:tcW w:type="dxa" w:w="2088"/>
            <w:vAlign w:val="center"/>
          </w:tcPr>
          <w:p>
            <w:pPr>
              <w:spacing w:after="0"/>
              <w:jc w:val="center"/>
            </w:pPr>
            <w:r/>
            <w:r>
              <w:rPr>
                <w:rFonts w:ascii="Calibri" w:hAnsi="Calibri" w:eastAsia="宋体"/>
                <w:b w:val="0"/>
                <w:sz w:val="18"/>
              </w:rPr>
              <w:t>306.03 ± 9.48</w:t>
            </w:r>
          </w:p>
        </w:tc>
        <w:tc>
          <w:tcPr>
            <w:tcW w:type="dxa" w:w="1800"/>
            <w:vAlign w:val="center"/>
          </w:tcPr>
          <w:p>
            <w:pPr>
              <w:spacing w:after="0"/>
              <w:jc w:val="center"/>
            </w:pPr>
            <w:r/>
            <w:r>
              <w:rPr>
                <w:rFonts w:ascii="Calibri" w:hAnsi="Calibri" w:eastAsia="宋体"/>
                <w:b w:val="0"/>
                <w:sz w:val="18"/>
              </w:rPr>
              <w:t>低 7.29%</w:t>
            </w:r>
          </w:p>
        </w:tc>
      </w:tr>
      <w:tr>
        <w:tc>
          <w:tcPr>
            <w:tcW w:type="dxa" w:w="2088"/>
            <w:vAlign w:val="center"/>
          </w:tcPr>
          <w:p>
            <w:pPr>
              <w:spacing w:after="0"/>
              <w:jc w:val="center"/>
            </w:pPr>
            <w:r/>
            <w:r>
              <w:rPr>
                <w:rFonts w:ascii="Calibri" w:hAnsi="Calibri" w:eastAsia="宋体"/>
                <w:b w:val="0"/>
                <w:sz w:val="18"/>
              </w:rPr>
              <w:t>PVG w/o Variable</w:t>
            </w:r>
          </w:p>
        </w:tc>
        <w:tc>
          <w:tcPr>
            <w:tcW w:type="dxa" w:w="1152"/>
            <w:vAlign w:val="center"/>
          </w:tcPr>
          <w:p>
            <w:pPr>
              <w:spacing w:after="0"/>
              <w:jc w:val="center"/>
            </w:pPr>
            <w:r/>
            <w:r>
              <w:rPr>
                <w:rFonts w:ascii="Calibri" w:hAnsi="Calibri" w:eastAsia="宋体"/>
                <w:b w:val="0"/>
                <w:sz w:val="18"/>
              </w:rPr>
              <w:t>365</w:t>
            </w:r>
          </w:p>
        </w:tc>
        <w:tc>
          <w:tcPr>
            <w:tcW w:type="dxa" w:w="2088"/>
            <w:vAlign w:val="center"/>
          </w:tcPr>
          <w:p>
            <w:pPr>
              <w:spacing w:after="0"/>
              <w:jc w:val="center"/>
            </w:pPr>
            <w:r/>
            <w:r>
              <w:rPr>
                <w:rFonts w:ascii="Calibri" w:hAnsi="Calibri" w:eastAsia="宋体"/>
                <w:b w:val="0"/>
                <w:sz w:val="18"/>
              </w:rPr>
              <w:t>202247.43 ± 13071.90</w:t>
            </w:r>
          </w:p>
        </w:tc>
        <w:tc>
          <w:tcPr>
            <w:tcW w:type="dxa" w:w="2088"/>
            <w:vAlign w:val="center"/>
          </w:tcPr>
          <w:p>
            <w:pPr>
              <w:spacing w:after="0"/>
              <w:jc w:val="center"/>
            </w:pPr>
            <w:r/>
            <w:r>
              <w:rPr>
                <w:rFonts w:ascii="Calibri" w:hAnsi="Calibri" w:eastAsia="宋体"/>
                <w:b w:val="0"/>
                <w:sz w:val="18"/>
              </w:rPr>
              <w:t>352.09 ± 11.78</w:t>
            </w:r>
          </w:p>
        </w:tc>
        <w:tc>
          <w:tcPr>
            <w:tcW w:type="dxa" w:w="1800"/>
            <w:vAlign w:val="center"/>
          </w:tcPr>
          <w:p>
            <w:pPr>
              <w:spacing w:after="0"/>
              <w:jc w:val="center"/>
            </w:pPr>
            <w:r/>
            <w:r>
              <w:rPr>
                <w:rFonts w:ascii="Calibri" w:hAnsi="Calibri" w:eastAsia="宋体"/>
                <w:b w:val="0"/>
                <w:sz w:val="18"/>
              </w:rPr>
              <w:t>高 18.23%</w:t>
            </w:r>
          </w:p>
        </w:tc>
      </w:tr>
      <w:tr>
        <w:tc>
          <w:tcPr>
            <w:tcW w:type="dxa" w:w="2088"/>
            <w:vAlign w:val="center"/>
          </w:tcPr>
          <w:p>
            <w:pPr>
              <w:spacing w:after="0"/>
              <w:jc w:val="center"/>
            </w:pPr>
            <w:r/>
            <w:r>
              <w:rPr>
                <w:rFonts w:ascii="Calibri" w:hAnsi="Calibri" w:eastAsia="宋体"/>
                <w:b w:val="0"/>
                <w:sz w:val="18"/>
              </w:rPr>
              <w:t>PVG w/o Gate</w:t>
            </w:r>
          </w:p>
        </w:tc>
        <w:tc>
          <w:tcPr>
            <w:tcW w:type="dxa" w:w="1152"/>
            <w:vAlign w:val="center"/>
          </w:tcPr>
          <w:p>
            <w:pPr>
              <w:spacing w:after="0"/>
              <w:jc w:val="center"/>
            </w:pPr>
            <w:r/>
            <w:r>
              <w:rPr>
                <w:rFonts w:ascii="Calibri" w:hAnsi="Calibri" w:eastAsia="宋体"/>
                <w:b w:val="0"/>
                <w:sz w:val="18"/>
              </w:rPr>
              <w:t>365</w:t>
            </w:r>
          </w:p>
        </w:tc>
        <w:tc>
          <w:tcPr>
            <w:tcW w:type="dxa" w:w="2088"/>
            <w:vAlign w:val="center"/>
          </w:tcPr>
          <w:p>
            <w:pPr>
              <w:spacing w:after="0"/>
              <w:jc w:val="center"/>
            </w:pPr>
            <w:r/>
            <w:r>
              <w:rPr>
                <w:rFonts w:ascii="Calibri" w:hAnsi="Calibri" w:eastAsia="宋体"/>
                <w:b w:val="0"/>
                <w:sz w:val="18"/>
              </w:rPr>
              <w:t>174182.50 ± 9143.13</w:t>
            </w:r>
          </w:p>
        </w:tc>
        <w:tc>
          <w:tcPr>
            <w:tcW w:type="dxa" w:w="2088"/>
            <w:vAlign w:val="center"/>
          </w:tcPr>
          <w:p>
            <w:pPr>
              <w:spacing w:after="0"/>
              <w:jc w:val="center"/>
            </w:pPr>
            <w:r/>
            <w:r>
              <w:rPr>
                <w:rFonts w:ascii="Calibri" w:hAnsi="Calibri" w:eastAsia="宋体"/>
                <w:b w:val="0"/>
                <w:sz w:val="18"/>
              </w:rPr>
              <w:t>324.93 ± 8.75</w:t>
            </w:r>
          </w:p>
        </w:tc>
        <w:tc>
          <w:tcPr>
            <w:tcW w:type="dxa" w:w="1800"/>
            <w:vAlign w:val="center"/>
          </w:tcPr>
          <w:p>
            <w:pPr>
              <w:spacing w:after="0"/>
              <w:jc w:val="center"/>
            </w:pPr>
            <w:r/>
            <w:r>
              <w:rPr>
                <w:rFonts w:ascii="Calibri" w:hAnsi="Calibri" w:eastAsia="宋体"/>
                <w:b w:val="0"/>
                <w:sz w:val="18"/>
              </w:rPr>
              <w:t>高 1.82%</w:t>
            </w:r>
          </w:p>
        </w:tc>
      </w:tr>
    </w:tbl>
    <w:p>
      <w:pPr>
        <w:spacing w:after="160"/>
        <w:jc w:val="center"/>
      </w:pPr>
      <w:r>
        <w:rPr>
          <w:rFonts w:ascii="Calibri" w:hAnsi="Calibri" w:eastAsia="宋体"/>
          <w:sz w:val="18"/>
        </w:rPr>
        <w:t>表 6 PVG-iTransformer 消融实验结果</w:t>
      </w:r>
    </w:p>
    <w:p>
      <w:pPr>
        <w:spacing w:after="120" w:line="264" w:lineRule="auto"/>
        <w:ind w:firstLine="440"/>
        <w:jc w:val="left"/>
      </w:pPr>
      <w:r>
        <w:rPr>
          <w:rFonts w:ascii="Calibri" w:hAnsi="Calibri" w:eastAsia="宋体"/>
          <w:sz w:val="22"/>
        </w:rPr>
        <w:t>消融结果显示，变量分支是当前 PVG 结构中贡献最稳定的部分。移除变量分支后，90 天 MSE 从完整 PVG 的 158417.61 升至 169661.53，即 高 7.10%；365 天 MSE 从 171061.69 升至 202247.43，即 高 18.23%。这说明把每个变量的 90 天历史作为 token，并显式建模目标功率、电力上下文、分表能耗、月度天气和日历变量之间的关系，对本任务是有效的。</w:t>
      </w:r>
    </w:p>
    <w:p>
      <w:pPr>
        <w:spacing w:after="120" w:line="264" w:lineRule="auto"/>
        <w:ind w:firstLine="440"/>
        <w:jc w:val="left"/>
      </w:pPr>
      <w:r>
        <w:rPr>
          <w:rFonts w:ascii="Calibri" w:hAnsi="Calibri" w:eastAsia="宋体"/>
          <w:sz w:val="22"/>
        </w:rPr>
        <w:t>另一方面，移除时间 Patch 分支后模型反而得到最低误差：90 天 MSE 为 151969.09、MAE 为 300.90，相对完整 PVG 的 MSE 低 4.07%；365 天 MSE 为 158587.36、MAE 为 306.03，相对完整 PVG 的 MSE 低 7.29%。这并不否定时间 Patch 思路，但说明在当前只有约四年日度样本、天气变量又是月度背景变量的设定下，周级 patch token 可能带来额外参数和局部噪声，没有变量 token 视角稳定。移除门控模块后，90 天 MSE 为 158172.00，与完整 PVG 很接近；365 天 MSE 为 174182.50，相对完整 PVG 高 1.82%，说明可学习门控对长期预测略有帮助，但不是本次性能提升的主要来源。</w:t>
      </w:r>
    </w:p>
    <w:p>
      <w:pPr>
        <w:pStyle w:val="Heading2"/>
      </w:pPr>
      <w:r>
        <w:t>3.2 预测曲线对比</w:t>
      </w:r>
    </w:p>
    <w:p>
      <w:pPr>
        <w:spacing w:after="120" w:line="264" w:lineRule="auto"/>
        <w:ind w:firstLine="440"/>
        <w:jc w:val="left"/>
      </w:pPr>
      <w:r>
        <w:rPr>
          <w:rFonts w:ascii="Calibri" w:hAnsi="Calibri" w:eastAsia="宋体"/>
          <w:sz w:val="22"/>
        </w:rPr>
        <w:t>PDF 要求绘制电量预测与 Ground Truth 曲线对比图。以下曲线均取 seed=42 的代表性测试窗口。需要说明的是，曲线图只展示单个窗口的形态，最终性能比较仍以所有 rolling-origin 测试窗口上的平均 MSE 和 MAE 为准。90 天图可以观察模型对短期上升趋势和局部波动的跟随情况；365 天图主要观察模型是否能捕捉年度季节轮廓和长期均值水平。</w:t>
      </w:r>
    </w:p>
    <w:p>
      <w:r>
        <w:drawing>
          <wp:inline xmlns:a="http://schemas.openxmlformats.org/drawingml/2006/main" xmlns:pic="http://schemas.openxmlformats.org/drawingml/2006/picture">
            <wp:extent cx="5486400" cy="2633472"/>
            <wp:docPr id="2" name="Picture 2"/>
            <wp:cNvGraphicFramePr>
              <a:graphicFrameLocks noChangeAspect="1"/>
            </wp:cNvGraphicFramePr>
            <a:graphic>
              <a:graphicData uri="http://schemas.openxmlformats.org/drawingml/2006/picture">
                <pic:pic>
                  <pic:nvPicPr>
                    <pic:cNvPr id="0" name="lstm_h90_prediction.png"/>
                    <pic:cNvPicPr/>
                  </pic:nvPicPr>
                  <pic:blipFill>
                    <a:blip r:embed="rId10"/>
                    <a:stretch>
                      <a:fillRect/>
                    </a:stretch>
                  </pic:blipFill>
                  <pic:spPr>
                    <a:xfrm>
                      <a:off x="0" y="0"/>
                      <a:ext cx="5486400" cy="2633472"/>
                    </a:xfrm>
                    <a:prstGeom prst="rect"/>
                  </pic:spPr>
                </pic:pic>
              </a:graphicData>
            </a:graphic>
          </wp:inline>
        </w:drawing>
      </w:r>
    </w:p>
    <w:p>
      <w:pPr>
        <w:spacing w:after="160"/>
        <w:jc w:val="center"/>
      </w:pPr>
      <w:r>
        <w:rPr>
          <w:rFonts w:ascii="Calibri" w:hAnsi="Calibri" w:eastAsia="宋体"/>
          <w:sz w:val="18"/>
        </w:rPr>
        <w:t>图 2 LSTM 90 天预测曲线</w:t>
      </w:r>
    </w:p>
    <w:p>
      <w:r>
        <w:drawing>
          <wp:inline xmlns:a="http://schemas.openxmlformats.org/drawingml/2006/main" xmlns:pic="http://schemas.openxmlformats.org/drawingml/2006/picture">
            <wp:extent cx="5486400" cy="2633472"/>
            <wp:docPr id="3" name="Picture 3"/>
            <wp:cNvGraphicFramePr>
              <a:graphicFrameLocks noChangeAspect="1"/>
            </wp:cNvGraphicFramePr>
            <a:graphic>
              <a:graphicData uri="http://schemas.openxmlformats.org/drawingml/2006/picture">
                <pic:pic>
                  <pic:nvPicPr>
                    <pic:cNvPr id="0" name="transformer_h90_prediction.png"/>
                    <pic:cNvPicPr/>
                  </pic:nvPicPr>
                  <pic:blipFill>
                    <a:blip r:embed="rId11"/>
                    <a:stretch>
                      <a:fillRect/>
                    </a:stretch>
                  </pic:blipFill>
                  <pic:spPr>
                    <a:xfrm>
                      <a:off x="0" y="0"/>
                      <a:ext cx="5486400" cy="2633472"/>
                    </a:xfrm>
                    <a:prstGeom prst="rect"/>
                  </pic:spPr>
                </pic:pic>
              </a:graphicData>
            </a:graphic>
          </wp:inline>
        </w:drawing>
      </w:r>
    </w:p>
    <w:p>
      <w:pPr>
        <w:spacing w:after="160"/>
        <w:jc w:val="center"/>
      </w:pPr>
      <w:r>
        <w:rPr>
          <w:rFonts w:ascii="Calibri" w:hAnsi="Calibri" w:eastAsia="宋体"/>
          <w:sz w:val="18"/>
        </w:rPr>
        <w:t>图 3 Transformer 90 天预测曲线</w:t>
      </w:r>
    </w:p>
    <w:p>
      <w:r>
        <w:drawing>
          <wp:inline xmlns:a="http://schemas.openxmlformats.org/drawingml/2006/main" xmlns:pic="http://schemas.openxmlformats.org/drawingml/2006/picture">
            <wp:extent cx="5486400" cy="2633472"/>
            <wp:docPr id="4" name="Picture 4"/>
            <wp:cNvGraphicFramePr>
              <a:graphicFrameLocks noChangeAspect="1"/>
            </wp:cNvGraphicFramePr>
            <a:graphic>
              <a:graphicData uri="http://schemas.openxmlformats.org/drawingml/2006/picture">
                <pic:pic>
                  <pic:nvPicPr>
                    <pic:cNvPr id="0" name="pvg_itransformer_h90_prediction.png"/>
                    <pic:cNvPicPr/>
                  </pic:nvPicPr>
                  <pic:blipFill>
                    <a:blip r:embed="rId12"/>
                    <a:stretch>
                      <a:fillRect/>
                    </a:stretch>
                  </pic:blipFill>
                  <pic:spPr>
                    <a:xfrm>
                      <a:off x="0" y="0"/>
                      <a:ext cx="5486400" cy="2633472"/>
                    </a:xfrm>
                    <a:prstGeom prst="rect"/>
                  </pic:spPr>
                </pic:pic>
              </a:graphicData>
            </a:graphic>
          </wp:inline>
        </w:drawing>
      </w:r>
    </w:p>
    <w:p>
      <w:pPr>
        <w:spacing w:after="160"/>
        <w:jc w:val="center"/>
      </w:pPr>
      <w:r>
        <w:rPr>
          <w:rFonts w:ascii="Calibri" w:hAnsi="Calibri" w:eastAsia="宋体"/>
          <w:sz w:val="18"/>
        </w:rPr>
        <w:t>图 4 PVG-iTransformer 90 天预测曲线</w:t>
      </w:r>
    </w:p>
    <w:p>
      <w:r>
        <w:drawing>
          <wp:inline xmlns:a="http://schemas.openxmlformats.org/drawingml/2006/main" xmlns:pic="http://schemas.openxmlformats.org/drawingml/2006/picture">
            <wp:extent cx="5486400" cy="2633472"/>
            <wp:docPr id="5" name="Picture 5"/>
            <wp:cNvGraphicFramePr>
              <a:graphicFrameLocks noChangeAspect="1"/>
            </wp:cNvGraphicFramePr>
            <a:graphic>
              <a:graphicData uri="http://schemas.openxmlformats.org/drawingml/2006/picture">
                <pic:pic>
                  <pic:nvPicPr>
                    <pic:cNvPr id="0" name="lstm_h365_prediction.png"/>
                    <pic:cNvPicPr/>
                  </pic:nvPicPr>
                  <pic:blipFill>
                    <a:blip r:embed="rId13"/>
                    <a:stretch>
                      <a:fillRect/>
                    </a:stretch>
                  </pic:blipFill>
                  <pic:spPr>
                    <a:xfrm>
                      <a:off x="0" y="0"/>
                      <a:ext cx="5486400" cy="2633472"/>
                    </a:xfrm>
                    <a:prstGeom prst="rect"/>
                  </pic:spPr>
                </pic:pic>
              </a:graphicData>
            </a:graphic>
          </wp:inline>
        </w:drawing>
      </w:r>
    </w:p>
    <w:p>
      <w:pPr>
        <w:spacing w:after="160"/>
        <w:jc w:val="center"/>
      </w:pPr>
      <w:r>
        <w:rPr>
          <w:rFonts w:ascii="Calibri" w:hAnsi="Calibri" w:eastAsia="宋体"/>
          <w:sz w:val="18"/>
        </w:rPr>
        <w:t>图 5 LSTM 365 天预测曲线</w:t>
      </w:r>
    </w:p>
    <w:p>
      <w:r>
        <w:drawing>
          <wp:inline xmlns:a="http://schemas.openxmlformats.org/drawingml/2006/main" xmlns:pic="http://schemas.openxmlformats.org/drawingml/2006/picture">
            <wp:extent cx="5486400" cy="2633472"/>
            <wp:docPr id="6" name="Picture 6"/>
            <wp:cNvGraphicFramePr>
              <a:graphicFrameLocks noChangeAspect="1"/>
            </wp:cNvGraphicFramePr>
            <a:graphic>
              <a:graphicData uri="http://schemas.openxmlformats.org/drawingml/2006/picture">
                <pic:pic>
                  <pic:nvPicPr>
                    <pic:cNvPr id="0" name="transformer_h365_prediction.png"/>
                    <pic:cNvPicPr/>
                  </pic:nvPicPr>
                  <pic:blipFill>
                    <a:blip r:embed="rId14"/>
                    <a:stretch>
                      <a:fillRect/>
                    </a:stretch>
                  </pic:blipFill>
                  <pic:spPr>
                    <a:xfrm>
                      <a:off x="0" y="0"/>
                      <a:ext cx="5486400" cy="2633472"/>
                    </a:xfrm>
                    <a:prstGeom prst="rect"/>
                  </pic:spPr>
                </pic:pic>
              </a:graphicData>
            </a:graphic>
          </wp:inline>
        </w:drawing>
      </w:r>
    </w:p>
    <w:p>
      <w:pPr>
        <w:spacing w:after="160"/>
        <w:jc w:val="center"/>
      </w:pPr>
      <w:r>
        <w:rPr>
          <w:rFonts w:ascii="Calibri" w:hAnsi="Calibri" w:eastAsia="宋体"/>
          <w:sz w:val="18"/>
        </w:rPr>
        <w:t>图 6 Transformer 365 天预测曲线</w:t>
      </w:r>
    </w:p>
    <w:p>
      <w:r>
        <w:drawing>
          <wp:inline xmlns:a="http://schemas.openxmlformats.org/drawingml/2006/main" xmlns:pic="http://schemas.openxmlformats.org/drawingml/2006/picture">
            <wp:extent cx="5486400" cy="2633472"/>
            <wp:docPr id="7" name="Picture 7"/>
            <wp:cNvGraphicFramePr>
              <a:graphicFrameLocks noChangeAspect="1"/>
            </wp:cNvGraphicFramePr>
            <a:graphic>
              <a:graphicData uri="http://schemas.openxmlformats.org/drawingml/2006/picture">
                <pic:pic>
                  <pic:nvPicPr>
                    <pic:cNvPr id="0" name="pvg_itransformer_h365_prediction.png"/>
                    <pic:cNvPicPr/>
                  </pic:nvPicPr>
                  <pic:blipFill>
                    <a:blip r:embed="rId15"/>
                    <a:stretch>
                      <a:fillRect/>
                    </a:stretch>
                  </pic:blipFill>
                  <pic:spPr>
                    <a:xfrm>
                      <a:off x="0" y="0"/>
                      <a:ext cx="5486400" cy="2633472"/>
                    </a:xfrm>
                    <a:prstGeom prst="rect"/>
                  </pic:spPr>
                </pic:pic>
              </a:graphicData>
            </a:graphic>
          </wp:inline>
        </w:drawing>
      </w:r>
    </w:p>
    <w:p>
      <w:pPr>
        <w:spacing w:after="160"/>
        <w:jc w:val="center"/>
      </w:pPr>
      <w:r>
        <w:rPr>
          <w:rFonts w:ascii="Calibri" w:hAnsi="Calibri" w:eastAsia="宋体"/>
          <w:sz w:val="18"/>
        </w:rPr>
        <w:t>图 7 PVG-iTransformer 365 天预测曲线</w:t>
      </w:r>
    </w:p>
    <w:p>
      <w:pPr>
        <w:spacing w:after="120" w:line="264" w:lineRule="auto"/>
        <w:ind w:firstLine="440"/>
        <w:jc w:val="left"/>
      </w:pPr>
      <w:r>
        <w:rPr>
          <w:rFonts w:ascii="Calibri" w:hAnsi="Calibri" w:eastAsia="宋体"/>
          <w:sz w:val="22"/>
        </w:rPr>
        <w:t>从代表性曲线可以看到，部分模型在测试起点后的前几十天会高于真实值。这并不说明训练存在错误，而是因为测试集第一个窗口从 2009 年 7 月 10 日开始，真实用电处于夏季低负荷区间，前 30 天真实均值明显低于训练集均值。模型使用 MSE 训练，倾向于预测条件均值，因此在低谷阶段容易偏高，在尖峰阶段也可能偏低。这反映了仅依靠历史用电、月度天气和日历变量难以捕捉住户短期外出或设备使用变化。</w:t>
      </w:r>
    </w:p>
    <w:p>
      <w:pPr>
        <w:pStyle w:val="Heading1"/>
      </w:pPr>
      <w:r>
        <w:t>4. 讨论</w:t>
      </w:r>
    </w:p>
    <w:p>
      <w:pPr>
        <w:spacing w:after="120" w:line="264" w:lineRule="auto"/>
        <w:ind w:firstLine="440"/>
        <w:jc w:val="left"/>
      </w:pPr>
      <w:r>
        <w:rPr>
          <w:rFonts w:ascii="Calibri" w:hAnsi="Calibri" w:eastAsia="宋体"/>
          <w:sz w:val="22"/>
        </w:rPr>
        <w:t>本文完成了 PDF 要求的三部分实验。LSTM 作为循环网络基线，结构简单且预测曲线较平滑；标准 Transformer 通过时间 token 和自注意力机制建模较长时间依赖；PVG-iTransformer 则进一步将时间 patch token 与变量 token 结合，并用门控机制自适应融合两种视角。主实验结果表明，PVG-iTransformer 在 90 天和 365 天任务上均优于 LSTM 与标准 Transformer，因此在当前实验设定下既具有结构辨识度，也具有较好的实测性能。补充消融实验进一步说明，PVG 的收益主要来自变量 token 分支；完整门控双分支结构并非在所有指标上都优于只保留变量分支的简化变体。</w:t>
      </w:r>
    </w:p>
    <w:p>
      <w:pPr>
        <w:spacing w:after="120" w:line="264" w:lineRule="auto"/>
        <w:ind w:firstLine="440"/>
        <w:jc w:val="left"/>
      </w:pPr>
      <w:r>
        <w:rPr>
          <w:rFonts w:ascii="Calibri" w:hAnsi="Calibri" w:eastAsia="宋体"/>
          <w:sz w:val="22"/>
        </w:rPr>
        <w:t>第三部分模型的主要创新不在于简单增加网络深度，而在于重新定义 Transformer 的输入 token。时间 Patch 分支把连续 90 天划分为重叠周级片段，适合表达家庭用电中的周周期和近期趋势；变量分支把每个变量的 90 天历史作为 token，适合表达总功率、电流、电压、分表能耗、月度降水背景和日历变量之间的依赖关系；门控融合则允许模型根据样本自动调整两类信息的权重。因此，PVG-iTransformer 相比普通时间 token Transformer 更符合本任务的多变量时间序列结构。但从消融结果看，时间 Patch 分支在当前数据规模下并未带来额外性能增益，这提示第三部分模型的价值应从结构设计和可解释的组件验证两方面评价，而不能只用“完整模型是否绝对最低”来概括。</w:t>
      </w:r>
    </w:p>
    <w:p>
      <w:pPr>
        <w:spacing w:after="120" w:line="264" w:lineRule="auto"/>
        <w:ind w:firstLine="440"/>
        <w:jc w:val="left"/>
      </w:pPr>
      <w:r>
        <w:rPr>
          <w:rFonts w:ascii="Calibri" w:hAnsi="Calibri" w:eastAsia="宋体"/>
          <w:sz w:val="22"/>
        </w:rPr>
        <w:t>本实验仍有局限。第一，未获得课程官方 train.csv 和 tes.csv，因此本文按公开 UCI 原始数据自行构造时间划分，结果可能与官方文件划分不完全一致。第二，天气数据为月度尺度，本文只能将其作为 SURESNES 站点月度气象背景使用，不能刻画每日温度、降水或湿度的即时影响。第三，NBJBROU 虽在 PDF 中列出，但该站点缺失严重，因此没有纳入主实验；这一选择提升了数据完整性，但也减少了一个潜在天气变量。第四，365 天预测采用直接多输出方式，输出维度高，训练窗口少，模型容易学习平滑季节轮廓，对突发峰值或低谷预测不足。</w:t>
      </w:r>
    </w:p>
    <w:p>
      <w:pPr>
        <w:spacing w:after="120" w:line="264" w:lineRule="auto"/>
        <w:ind w:firstLine="440"/>
        <w:jc w:val="left"/>
      </w:pPr>
      <w:r>
        <w:rPr>
          <w:rFonts w:ascii="Calibri" w:hAnsi="Calibri" w:eastAsia="宋体"/>
          <w:sz w:val="22"/>
        </w:rPr>
        <w:t>后续可以从四个方向改进：一是使用真实日度天气数据和更近的气象站变量，例如温度、湿度、风速和日降水；二是加入法国节假日、工作日类型和住户行为代理变量；三是尝试 RevIN、分层预测头或多尺度损失，提高长期预测稳定性；四是进一步做超参数和结构敏感性分析，例如比较不同 patch_len、stride、门控维度、变量组嵌入方式和输出头设计，以判断时间 Patch 分支在什么条件下可以稳定带来增益。</w:t>
      </w:r>
    </w:p>
    <w:p>
      <w:pPr>
        <w:spacing w:after="120" w:line="264" w:lineRule="auto"/>
        <w:ind w:firstLine="440"/>
        <w:jc w:val="left"/>
      </w:pPr>
      <w:r>
        <w:rPr>
          <w:rFonts w:ascii="Calibri" w:hAnsi="Calibri" w:eastAsia="宋体"/>
          <w:sz w:val="22"/>
        </w:rPr>
        <w:t>代码已整理在 /mnt/sdc/zoujunjie/mlearn_power_coursework。正式提交时，应将该目录上传到个人 GitHub 仓库，并把报告中的 GitHub 链接占位替换为真实仓库链接。当前服务器环境没有个人 GitHub 仓库写入权限，因此本文保留可复现代码目录作为说明。</w:t>
      </w:r>
    </w:p>
    <w:p>
      <w:pPr>
        <w:spacing w:after="80"/>
        <w:ind w:left="240"/>
      </w:pPr>
      <w:r>
        <w:rPr>
          <w:rFonts w:ascii="Calibri" w:hAnsi="Calibri" w:eastAsia="宋体"/>
          <w:color w:val="555555"/>
          <w:sz w:val="19"/>
        </w:rPr>
        <w:t>GitHub 链接占位：https://github.com/&lt;your-id&gt;/mlearn_power_coursework</w:t>
      </w:r>
    </w:p>
    <w:p>
      <w:pPr>
        <w:pStyle w:val="Heading1"/>
      </w:pPr>
      <w:r>
        <w:t>参考文献</w:t>
      </w:r>
    </w:p>
    <w:p>
      <w:pPr>
        <w:spacing w:after="100"/>
        <w:ind w:left="360" w:hanging="360"/>
      </w:pPr>
      <w:r>
        <w:rPr>
          <w:rFonts w:ascii="Calibri" w:hAnsi="Calibri" w:eastAsia="宋体"/>
          <w:sz w:val="20"/>
        </w:rPr>
        <w:t>Dua D, Graff C. UCI Machine Learning Repository: Individual household electric power consumption Data Set. University of California, Irvine.</w:t>
      </w:r>
    </w:p>
    <w:p>
      <w:pPr>
        <w:spacing w:after="100"/>
        <w:ind w:left="360" w:hanging="360"/>
      </w:pPr>
      <w:r>
        <w:rPr>
          <w:rFonts w:ascii="Calibri" w:hAnsi="Calibri" w:eastAsia="宋体"/>
          <w:sz w:val="20"/>
        </w:rPr>
        <w:t>Meteo-France. Donnees climatologiques de base - mensuelles, MENSQ_92_previous-1950-2024.csv.gz, data.gouv.fr.</w:t>
      </w:r>
    </w:p>
    <w:p>
      <w:pPr>
        <w:spacing w:after="100"/>
        <w:ind w:left="360" w:hanging="360"/>
      </w:pPr>
      <w:r>
        <w:rPr>
          <w:rFonts w:ascii="Calibri" w:hAnsi="Calibri" w:eastAsia="宋体"/>
          <w:sz w:val="20"/>
        </w:rPr>
        <w:t>Hochreiter S, Schmidhuber J. Long short-term memory. Neural Computation, 1997.</w:t>
      </w:r>
    </w:p>
    <w:p>
      <w:pPr>
        <w:spacing w:after="100"/>
        <w:ind w:left="360" w:hanging="360"/>
      </w:pPr>
      <w:r>
        <w:rPr>
          <w:rFonts w:ascii="Calibri" w:hAnsi="Calibri" w:eastAsia="宋体"/>
          <w:sz w:val="20"/>
        </w:rPr>
        <w:t>Vaswani A, Shazeer N, Parmar N, et al. Attention is all you need. NeurIPS, 2017.</w:t>
      </w:r>
    </w:p>
    <w:p>
      <w:pPr>
        <w:spacing w:after="100"/>
        <w:ind w:left="360" w:hanging="360"/>
      </w:pPr>
      <w:r>
        <w:rPr>
          <w:rFonts w:ascii="Calibri" w:hAnsi="Calibri" w:eastAsia="宋体"/>
          <w:sz w:val="20"/>
        </w:rPr>
        <w:t>Nie Y, Nguyen N H, Sinthong P, Kalagnanam J. A Time Series is Worth 64 Words: Long-term Forecasting with Transformers. ICLR, 2023.</w:t>
      </w:r>
    </w:p>
    <w:p>
      <w:pPr>
        <w:spacing w:after="100"/>
        <w:ind w:left="360" w:hanging="360"/>
      </w:pPr>
      <w:r>
        <w:rPr>
          <w:rFonts w:ascii="Calibri" w:hAnsi="Calibri" w:eastAsia="宋体"/>
          <w:sz w:val="20"/>
        </w:rPr>
        <w:t>Liu Y, Hu T, Zhang H, et al. iTransformer: Inverted Transformers Are Effective for Time Series Forecasting. ICLR, 2024.</w:t>
      </w:r>
    </w:p>
    <w:p>
      <w:pPr>
        <w:spacing w:after="100"/>
        <w:ind w:left="360" w:hanging="360"/>
      </w:pPr>
      <w:r>
        <w:rPr>
          <w:rFonts w:ascii="Calibri" w:hAnsi="Calibri" w:eastAsia="宋体"/>
          <w:sz w:val="20"/>
        </w:rPr>
        <w:t>课程考核文件：2026 年专硕机器学习课程项目说明。</w:t>
      </w:r>
    </w:p>
    <w:p>
      <w:pPr>
        <w:spacing w:after="100"/>
        <w:ind w:left="360" w:hanging="360"/>
      </w:pPr>
      <w:r>
        <w:rPr>
          <w:rFonts w:ascii="Calibri" w:hAnsi="Calibri" w:eastAsia="宋体"/>
          <w:sz w:val="20"/>
        </w:rPr>
        <w:t>本文报告文字由 ChatGPT/Codex 辅助整理，实验代码和数值结果由服务器 /mnt/sdc/zoujunjie/mlearn_power_coursework 运行生成。</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黑体"/>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黑体"/>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