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body>
    <w:p w14:paraId="4DB71AF2">
      <w:pPr>
        <w:keepNext w:val="0"/>
        <w:keepLines w:val="0"/>
        <w:pageBreakBefore w:val="0"/>
        <w:widowControl/>
        <w:kinsoku/>
        <w:wordWrap/>
        <w:overflowPunct/>
        <w:topLinePunct w:val="0"/>
        <w:autoSpaceDE/>
        <w:autoSpaceDN/>
        <w:bidi w:val="0"/>
        <w:adjustRightInd/>
        <w:snapToGrid/>
        <w:spacing w:after="0" w:line="500" w:lineRule="exact"/>
        <w:jc w:val="center"/>
        <w:textAlignment w:val="auto"/>
        <w:rPr>
          <w:rFonts w:ascii="Times New Roman" w:hAnsi="Times New Roman" w:eastAsia="宋体" w:cs="Times New Roman"/>
          <w:b w:val="0"/>
          <w:bCs w:val="0"/>
          <w:color w:val="auto"/>
        </w:rPr>
      </w:pPr>
      <w:r>
        <w:rPr>
          <w:rFonts w:hint="eastAsia" w:ascii="Times New Roman" w:hAnsi="Times New Roman" w:eastAsia="宋体" w:cs="Times New Roman"/>
          <w:b w:val="0"/>
          <w:bCs w:val="0"/>
          <w:color w:val="auto"/>
          <w:sz w:val="36"/>
        </w:rPr>
        <w:t>专硕机器学习课程考核</w:t>
      </w:r>
      <w:r>
        <w:rPr>
          <w:rFonts w:hint="eastAsia" w:eastAsia="宋体" w:cs="Times New Roman"/>
          <w:b w:val="0"/>
          <w:bCs w:val="0"/>
          <w:color w:val="auto"/>
          <w:sz w:val="36"/>
          <w:lang w:eastAsia="zh-CN"/>
        </w:rPr>
        <w:t>：</w:t>
      </w:r>
      <w:r>
        <w:rPr>
          <w:rFonts w:ascii="Times New Roman" w:hAnsi="Times New Roman" w:eastAsia="宋体" w:cs="Times New Roman"/>
          <w:b w:val="0"/>
          <w:bCs w:val="0"/>
          <w:color w:val="auto"/>
          <w:sz w:val="36"/>
        </w:rPr>
        <w:t>家庭电力消耗多变量时间序列预测实验报告</w:t>
      </w:r>
    </w:p>
    <w:p w14:paraId="3D74738B">
      <w:pPr>
        <w:keepNext w:val="0"/>
        <w:keepLines w:val="0"/>
        <w:pageBreakBefore w:val="0"/>
        <w:widowControl/>
        <w:kinsoku/>
        <w:wordWrap/>
        <w:overflowPunct/>
        <w:topLinePunct w:val="0"/>
        <w:autoSpaceDE/>
        <w:autoSpaceDN/>
        <w:bidi w:val="0"/>
        <w:adjustRightInd/>
        <w:snapToGrid/>
        <w:spacing w:before="50" w:after="50" w:line="300" w:lineRule="exact"/>
        <w:jc w:val="both"/>
        <w:textAlignment w:val="auto"/>
        <w:rPr>
          <w:rFonts w:ascii="Times New Roman" w:hAnsi="Times New Roman" w:eastAsia="宋体" w:cs="Times New Roman"/>
          <w:b w:val="0"/>
          <w:bCs w:val="0"/>
          <w:color w:val="auto"/>
          <w:sz w:val="18"/>
          <w:szCs w:val="18"/>
        </w:rPr>
      </w:pPr>
      <w:r>
        <w:rPr>
          <w:rFonts w:eastAsia="宋体"/>
          <w:b/>
          <w:bCs/>
          <w:sz w:val="18"/>
          <w:szCs w:val="18"/>
        </w:rPr>
        <w:t>摘  要</w:t>
        <w:tab/>
      </w:r>
      <w:r>
        <w:rPr>
          <w:rFonts w:eastAsia="宋体"/>
          <w:b w:val="0"/>
          <w:bCs/>
          <w:sz w:val="18"/>
          <w:szCs w:val="18"/>
        </w:rPr>
        <w:t>本文围绕家庭电力消耗多变量时间序列预测任务展开研究。实验以 UCI Individual Household Electric Power Consumption 分钟级数据为基础，将缺失分钟按因果规则填补后聚合为日尺度序列，并融合 Météo-France 月度气象背景变量。预测目标为 global_active_power 分钟功率读数的每日求和；该数值除以 60 才近似对应 kWh。模型输入过去 90 天的 16 维历史窗口，分别一次性输出未来 90 天和 365 天曲线。</w:t>
      </w:r>
    </w:p>
    <w:p w14:paraId="5E0D3AAE">
      <w:pPr>
        <w:keepNext w:val="0"/>
        <w:keepLines w:val="0"/>
        <w:pageBreakBefore w:val="0"/>
        <w:widowControl/>
        <w:kinsoku/>
        <w:wordWrap/>
        <w:overflowPunct/>
        <w:topLinePunct w:val="0"/>
        <w:autoSpaceDE/>
        <w:autoSpaceDN/>
        <w:bidi w:val="0"/>
        <w:adjustRightInd/>
        <w:snapToGrid/>
        <w:spacing w:before="50" w:after="50" w:line="300" w:lineRule="exact"/>
        <w:ind w:firstLine="360" w:firstLineChars="200"/>
        <w:jc w:val="both"/>
        <w:textAlignment w:val="auto"/>
        <w:rPr>
          <w:rFonts w:ascii="Times New Roman" w:hAnsi="Times New Roman" w:eastAsia="宋体" w:cs="Times New Roman"/>
          <w:b w:val="0"/>
          <w:bCs w:val="0"/>
          <w:color w:val="auto"/>
          <w:sz w:val="18"/>
          <w:szCs w:val="18"/>
        </w:rPr>
      </w:pPr>
      <w:r>
        <w:rPr>
          <w:rFonts w:ascii="Times New Roman" w:hAnsi="Times New Roman" w:eastAsia="宋体" w:cs="Times New Roman"/>
          <w:b w:val="0"/>
          <w:bCs w:val="0"/>
          <w:color w:val="auto"/>
          <w:sz w:val="18"/>
          <w:szCs w:val="18"/>
        </w:rPr>
        <w:t>模型比较包括三部分</w:t>
      </w:r>
      <w:r>
        <w:rPr>
          <w:rFonts w:hint="eastAsia" w:eastAsia="宋体" w:cs="Times New Roman"/>
          <w:b w:val="0"/>
          <w:bCs w:val="0"/>
          <w:color w:val="auto"/>
          <w:sz w:val="18"/>
          <w:szCs w:val="18"/>
          <w:lang w:eastAsia="zh-CN"/>
        </w:rPr>
        <w:t>，</w:t>
      </w:r>
      <w:r>
        <w:rPr>
          <w:rFonts w:ascii="Times New Roman" w:hAnsi="Times New Roman" w:eastAsia="宋体" w:cs="Times New Roman"/>
          <w:b w:val="0"/>
          <w:bCs w:val="0"/>
          <w:color w:val="auto"/>
          <w:sz w:val="18"/>
          <w:szCs w:val="18"/>
        </w:rPr>
        <w:t>LSTM 模型、标准Transformer模型，以及本文提出的PVG-iTransformer</w:t>
      </w:r>
      <w:r>
        <w:rPr>
          <w:rFonts w:hint="eastAsia" w:eastAsia="宋体" w:cs="Times New Roman"/>
          <w:b w:val="0"/>
          <w:bCs w:val="0"/>
          <w:color w:val="auto"/>
          <w:sz w:val="18"/>
          <w:szCs w:val="18"/>
          <w:lang w:val="en-US" w:eastAsia="zh-CN"/>
        </w:rPr>
        <w:t>模型</w:t>
      </w:r>
      <w:r>
        <w:rPr>
          <w:rFonts w:ascii="Times New Roman" w:hAnsi="Times New Roman" w:eastAsia="宋体" w:cs="Times New Roman"/>
          <w:b w:val="0"/>
          <w:bCs w:val="0"/>
          <w:color w:val="auto"/>
          <w:sz w:val="18"/>
          <w:szCs w:val="18"/>
        </w:rPr>
        <w:t>。PVG-iTransformer受 PatchTST 和 iTransformer 的思想启发，将同一段历史序列同时组织为时间片段 token 和变量 token，并通过门控融合机制自适应整合两类表示。该设计从 token 构造、跨变量依赖建模和特征融合三个层面对多变量时间序列预测进行了改进。</w:t>
      </w:r>
    </w:p>
    <w:p w14:paraId="3101877A">
      <w:pPr>
        <w:keepNext w:val="0"/>
        <w:keepLines w:val="0"/>
        <w:pageBreakBefore w:val="0"/>
        <w:widowControl/>
        <w:kinsoku/>
        <w:wordWrap/>
        <w:overflowPunct/>
        <w:topLinePunct w:val="0"/>
        <w:autoSpaceDE/>
        <w:autoSpaceDN/>
        <w:bidi w:val="0"/>
        <w:adjustRightInd/>
        <w:snapToGrid/>
        <w:spacing w:before="50" w:after="50" w:line="300" w:lineRule="exact"/>
        <w:ind w:firstLine="360" w:firstLineChars="200"/>
        <w:jc w:val="both"/>
        <w:textAlignment w:val="auto"/>
        <w:rPr>
          <w:rFonts w:ascii="Times New Roman" w:hAnsi="Times New Roman" w:eastAsia="宋体" w:cs="Times New Roman"/>
          <w:b w:val="0"/>
          <w:bCs w:val="0"/>
          <w:color w:val="auto"/>
          <w:sz w:val="18"/>
          <w:szCs w:val="18"/>
        </w:rPr>
      </w:pPr>
      <w:r>
        <w:rPr>
          <w:rFonts w:ascii="Times New Roman" w:hAnsi="Times New Roman" w:eastAsia="宋体" w:cs="Times New Roman"/>
          <w:b w:val="0"/>
          <w:bCs w:val="0"/>
          <w:color w:val="auto"/>
          <w:sz w:val="18"/>
          <w:szCs w:val="18"/>
        </w:rPr>
        <w:t>数据按时间顺序自行划分为训练、验证和测试三段。分钟缺失值只使用更早的原始观测；月度天气采用上一个已完整结束月份，RR 保持原始 mm 单位。三类模型在同一固定验证起点选择 checkpoint，并在 2009-07-10 的固定测试起点一次性输出完整预测期。每种模型与预测长度使用 5 个随机种子。PVG-iTransformer 在三个神经网络中误差最低；但 90 天任务仍弱于仅用训练集构造的月份均值基线，365 天任务也仅小幅优于该基线。</w:t>
      </w:r>
    </w:p>
    <w:p w14:paraId="75482531">
      <w:pPr>
        <w:keepNext w:val="0"/>
        <w:keepLines w:val="0"/>
        <w:pageBreakBefore w:val="0"/>
        <w:widowControl/>
        <w:kinsoku/>
        <w:wordWrap/>
        <w:overflowPunct/>
        <w:topLinePunct w:val="0"/>
        <w:autoSpaceDE/>
        <w:autoSpaceDN/>
        <w:bidi w:val="0"/>
        <w:adjustRightInd/>
        <w:snapToGrid/>
        <w:spacing w:before="50" w:after="50" w:line="300" w:lineRule="exact"/>
        <w:textAlignment w:val="auto"/>
        <w:rPr>
          <w:rFonts w:ascii="Times New Roman" w:hAnsi="Times New Roman" w:eastAsia="宋体" w:cs="Times New Roman"/>
          <w:b w:val="0"/>
          <w:bCs w:val="0"/>
          <w:color w:val="auto"/>
          <w:sz w:val="18"/>
          <w:szCs w:val="18"/>
        </w:rPr>
      </w:pPr>
      <w:r>
        <w:rPr>
          <w:rFonts w:eastAsia="宋体"/>
          <w:b/>
          <w:bCs/>
          <w:sz w:val="18"/>
          <w:szCs w:val="18"/>
        </w:rPr>
        <w:t>关键词</w:t>
        <w:tab/>
      </w:r>
      <w:r>
        <w:rPr>
          <w:rFonts w:eastAsia="宋体"/>
          <w:b w:val="0"/>
          <w:bCs/>
          <w:sz w:val="18"/>
          <w:szCs w:val="18"/>
        </w:rPr>
        <w:t>家庭电力消耗；多变量时间序列预测；固定留出评估；LSTM；Transformer；PVG-iTransformer</w:t>
      </w:r>
    </w:p>
    <w:p w14:paraId="1F996C16">
      <w:pPr>
        <w:pStyle w:val="3"/>
        <w:keepNext/>
        <w:keepLines/>
        <w:pageBreakBefore w:val="0"/>
        <w:widowControl/>
        <w:kinsoku/>
        <w:wordWrap/>
        <w:overflowPunct/>
        <w:topLinePunct w:val="0"/>
        <w:autoSpaceDE/>
        <w:autoSpaceDN/>
        <w:bidi w:val="0"/>
        <w:adjustRightInd/>
        <w:snapToGrid/>
        <w:spacing w:before="50" w:after="50" w:line="500" w:lineRule="exact"/>
        <w:jc w:val="left"/>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32"/>
        </w:rPr>
        <w:t xml:space="preserve">1. </w:t>
      </w:r>
      <w:r>
        <w:rPr>
          <w:rFonts w:ascii="Times New Roman" w:hAnsi="Times New Roman" w:eastAsia="宋体" w:cs="Times New Roman"/>
          <w:b w:val="0"/>
          <w:bCs w:val="0"/>
          <w:color w:val="auto"/>
          <w:sz w:val="28"/>
          <w:szCs w:val="28"/>
        </w:rPr>
        <w:t>问题介绍</w:t>
      </w:r>
    </w:p>
    <w:p w14:paraId="3E74C8C7">
      <w:pPr>
        <w:pStyle w:val="4"/>
        <w:keepNext/>
        <w:keepLines/>
        <w:pageBreakBefore w:val="0"/>
        <w:widowControl/>
        <w:kinsoku/>
        <w:wordWrap/>
        <w:overflowPunct/>
        <w:topLinePunct w:val="0"/>
        <w:autoSpaceDE/>
        <w:autoSpaceDN/>
        <w:bidi w:val="0"/>
        <w:adjustRightInd/>
        <w:snapToGrid/>
        <w:spacing w:before="50" w:after="50" w:line="500" w:lineRule="exact"/>
        <w:jc w:val="left"/>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5"/>
        </w:rPr>
        <w:t>1.1</w:t>
      </w:r>
      <w:r>
        <w:rPr>
          <w:rFonts w:ascii="Times New Roman" w:hAnsi="Times New Roman" w:eastAsia="宋体" w:cs="Times New Roman"/>
          <w:b w:val="0"/>
          <w:bCs w:val="0"/>
          <w:color w:val="auto"/>
          <w:sz w:val="24"/>
          <w:szCs w:val="24"/>
        </w:rPr>
        <w:t xml:space="preserve"> 研究背景与任务定义</w:t>
      </w:r>
    </w:p>
    <w:p w14:paraId="20DA4C17">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随着智能家居与物联网技术的不断发展，家庭电力消耗监测与管理成为节能减排、降低用电成本和实现智能化生活的重要环节。通过对家庭电力消耗进行细致的数据采集和建模分析，不仅有助于居民了解自身用电行为，还能为电力公司合理调度和预测电力负荷、平衡供需提供技术支持。家庭电力消耗受多种因素影响，例如季节变换、节假日、家庭成员行为模式、用电设备种类及气象条件等，这使得准确预测具有较大挑战性和现实意义。对家庭电力消耗进行多变量时间序列预测，可以帮助用户及时发现异常用电，合理安排用电时间，降低峰值负荷，从而节省电费和提升能源利用效率。同时，精确的用电预测对智能电网的动态调度、可再生能源接入与分布式能源管理等也有重要推动作用。</w:t>
      </w:r>
    </w:p>
    <w:p w14:paraId="7361287F">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本任务要求基于过去 90 天的数据曲线预测未来每天的 global_active_power 日求和，包括未来 90 天（短期预测）和未来 365 天（长期预测）两个子任务。短期模型和长期模型分别训练，参数不共享。根据更新后的课程要求，本文自行按时间顺序划分训练、验证和测试数据，并使用 MSE 与 MAE 评价 LSTM、Transformer 和 PVG-iTransformer。</w:t>
      </w:r>
    </w:p>
    <w:p w14:paraId="4E2AAFC6">
      <w:pPr>
        <w:pStyle w:val="4"/>
        <w:keepNext/>
        <w:keepLines/>
        <w:pageBreakBefore w:val="0"/>
        <w:widowControl/>
        <w:kinsoku/>
        <w:wordWrap/>
        <w:overflowPunct/>
        <w:topLinePunct w:val="0"/>
        <w:autoSpaceDE/>
        <w:autoSpaceDN/>
        <w:bidi w:val="0"/>
        <w:adjustRightInd/>
        <w:snapToGrid/>
        <w:spacing w:before="50" w:after="50" w:line="500" w:lineRule="exact"/>
        <w:jc w:val="left"/>
        <w:textAlignment w:val="auto"/>
        <w:rPr>
          <w:rFonts w:ascii="Times New Roman" w:hAnsi="Times New Roman" w:eastAsia="宋体" w:cs="Times New Roman"/>
          <w:b w:val="0"/>
          <w:bCs w:val="0"/>
          <w:color w:val="auto"/>
          <w:sz w:val="24"/>
          <w:szCs w:val="24"/>
        </w:rPr>
      </w:pPr>
      <w:r>
        <w:rPr>
          <w:rFonts w:ascii="Times New Roman" w:hAnsi="Times New Roman" w:eastAsia="宋体" w:cs="Times New Roman"/>
          <w:b w:val="0"/>
          <w:bCs w:val="0"/>
          <w:color w:val="auto"/>
          <w:sz w:val="24"/>
          <w:szCs w:val="24"/>
        </w:rPr>
        <w:t>1.2 数据来源与变量说明</w:t>
      </w:r>
    </w:p>
    <w:p w14:paraId="6546CE3F">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ascii="Times New Roman" w:hAnsi="Times New Roman" w:eastAsia="宋体" w:cs="Times New Roman"/>
          <w:b w:val="0"/>
          <w:bCs w:val="0"/>
          <w:color w:val="auto"/>
          <w:sz w:val="21"/>
        </w:rPr>
      </w:pPr>
      <w:r>
        <w:rPr>
          <w:rFonts w:ascii="Times New Roman" w:hAnsi="Times New Roman" w:eastAsia="宋体" w:cs="Times New Roman"/>
          <w:b w:val="0"/>
          <w:bCs w:val="0"/>
          <w:color w:val="auto"/>
          <w:sz w:val="21"/>
        </w:rPr>
        <w:t>电力数据来自 UCI Machine Learning Repository 公开的“Individual Household Electric Power Consumption”数据集。该数据记录法国一户家庭从 2006 年 12 月至 2010 年 11 月的分钟级用电情况，主要字段包括 global_active_power、global_reactive_power、voltage、global_intensity 以及三个分表能耗变量 sub_metering_1、sub_metering_2 和 sub_metering_3。本文进一步计算未被三个分表覆盖的剩余能耗。需要特别说明，预测目标是把每分钟 global_active_power（kW）读数直接按日求和；若将其解释为近似日用电量 kWh，应再除以 60。本文所有指标均保留程序使用的原始日求和尺度。</w:t>
      </w:r>
    </w:p>
    <w:p w14:paraId="56E534AC">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center"/>
        <w:textAlignment w:val="auto"/>
        <w:rPr>
          <w:rFonts w:hint="eastAsia" w:eastAsia="宋体" w:cs="Times New Roman"/>
          <w:b w:val="0"/>
          <w:bCs w:val="0"/>
          <w:color w:val="auto"/>
          <w:sz w:val="21"/>
          <w:lang w:val="en-US" w:eastAsia="zh-CN"/>
        </w:rPr>
      </w:pPr>
      <w:r>
        <w:t>sub_metering_remainder = global_active_power × 1000 / 60</w:t>
      </w:r>
    </w:p>
    <w:p w14:paraId="7EBFABD0">
      <w:pPr>
        <w:keepNext w:val="0"/>
        <w:keepLines w:val="0"/>
        <w:pageBreakBefore w:val="0"/>
        <w:widowControl/>
        <w:kinsoku/>
        <w:wordWrap/>
        <w:overflowPunct/>
        <w:topLinePunct w:val="0"/>
        <w:autoSpaceDE/>
        <w:autoSpaceDN/>
        <w:bidi w:val="0"/>
        <w:adjustRightInd/>
        <w:snapToGrid/>
        <w:spacing w:before="50" w:after="50" w:line="300" w:lineRule="exact"/>
        <w:ind w:firstLine="1050" w:firstLineChars="500"/>
        <w:jc w:val="center"/>
        <w:textAlignment w:val="auto"/>
        <w:rPr>
          <w:rFonts w:hint="default" w:ascii="Times New Roman" w:hAnsi="Times New Roman" w:eastAsia="宋体" w:cs="Times New Roman"/>
          <w:b w:val="0"/>
          <w:bCs w:val="0"/>
          <w:color w:val="auto"/>
          <w:lang w:val="en-US" w:eastAsia="zh-CN"/>
        </w:rPr>
      </w:pPr>
      <w:r>
        <w:rPr>
          <w:rFonts w:hint="eastAsia" w:eastAsia="宋体" w:cs="Times New Roman"/>
          <w:b w:val="0"/>
          <w:bCs w:val="0"/>
          <w:i w:val="0"/>
          <w:color w:val="auto"/>
          <w:sz w:val="21"/>
          <w:lang w:val="en-US" w:eastAsia="zh-CN"/>
        </w:rPr>
        <w:t>− (sub_metering_1 + sub_metering_2 + sub_metering_3)</w:t>
      </w:r>
    </w:p>
    <w:p w14:paraId="2F0BA984">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ascii="Times New Roman" w:hAnsi="Times New Roman" w:eastAsia="宋体" w:cs="Times New Roman"/>
          <w:b w:val="0"/>
          <w:bCs w:val="0"/>
          <w:color w:val="auto"/>
          <w:sz w:val="21"/>
        </w:rPr>
      </w:pPr>
      <w:r>
        <w:rPr>
          <w:rFonts w:ascii="Times New Roman" w:hAnsi="Times New Roman" w:eastAsia="宋体" w:cs="Times New Roman"/>
          <w:b w:val="0"/>
          <w:bCs w:val="0"/>
          <w:color w:val="auto"/>
          <w:sz w:val="21"/>
        </w:rPr>
        <w:t>气象数据来自 data.gouv.fr 提供的 Météo-France 月度基础气候数据。本文选用 Hauts-de-Seine 区域的 SURESNES 站，并使用 RR、NBJRR1、NBJRR5 和 NBJRR10；NBJBROU 因绝大多数月份缺失而剔除。RR 在原始文件中的单位已经是 mm，因此不再除以 10。为满足 as-of 信息可用性，每个目标月份只连接上一个已经完整结束月份的天气统计，例如 2009 年 7 月的每日输入使用 2009 年 6 月统计；目标月与来源月的映射另存为审计文件。</w:t>
      </w:r>
    </w:p>
    <w:p w14:paraId="0E195EEB">
      <w:pPr>
        <w:pStyle w:val="4"/>
        <w:keepNext/>
        <w:keepLines/>
        <w:pageBreakBefore w:val="0"/>
        <w:widowControl/>
        <w:kinsoku/>
        <w:wordWrap/>
        <w:overflowPunct/>
        <w:topLinePunct w:val="0"/>
        <w:autoSpaceDE/>
        <w:autoSpaceDN/>
        <w:bidi w:val="0"/>
        <w:adjustRightInd/>
        <w:snapToGrid/>
        <w:spacing w:before="50" w:after="50" w:line="500" w:lineRule="exact"/>
        <w:jc w:val="left"/>
        <w:textAlignment w:val="auto"/>
        <w:rPr>
          <w:rFonts w:ascii="Times New Roman" w:hAnsi="Times New Roman" w:eastAsia="宋体" w:cs="Times New Roman"/>
          <w:b w:val="0"/>
          <w:bCs w:val="0"/>
          <w:color w:val="auto"/>
          <w:sz w:val="24"/>
          <w:szCs w:val="24"/>
        </w:rPr>
      </w:pPr>
      <w:r>
        <w:rPr>
          <w:rFonts w:ascii="Times New Roman" w:hAnsi="Times New Roman" w:eastAsia="宋体" w:cs="Times New Roman"/>
          <w:b w:val="0"/>
          <w:bCs w:val="0"/>
          <w:color w:val="auto"/>
          <w:sz w:val="24"/>
          <w:szCs w:val="24"/>
        </w:rPr>
        <w:t>1.3 数据划分与评价方式</w:t>
      </w:r>
    </w:p>
    <w:p w14:paraId="603988E2">
      <w:pPr>
        <w:keepNext w:val="0"/>
        <w:keepLines w:val="0"/>
        <w:pageBreakBefore w:val="0"/>
        <w:widowControl/>
        <w:kinsoku/>
        <w:wordWrap/>
        <w:overflowPunct/>
        <w:topLinePunct w:val="0"/>
        <w:autoSpaceDE/>
        <w:autoSpaceDN/>
        <w:bidi w:val="0"/>
        <w:adjustRightInd/>
        <w:snapToGrid/>
        <w:spacing w:before="50" w:after="50" w:line="300" w:lineRule="exact"/>
        <w:ind w:firstLine="420"/>
        <w:jc w:val="both"/>
        <w:textAlignment w:val="auto"/>
        <w:rPr>
          <w:rFonts w:ascii="Times New Roman" w:hAnsi="Times New Roman" w:eastAsia="宋体" w:cs="Times New Roman"/>
          <w:b w:val="0"/>
          <w:bCs w:val="0"/>
          <w:color w:val="auto"/>
          <w:sz w:val="21"/>
        </w:rPr>
      </w:pPr>
      <w:r>
        <w:rPr>
          <w:rFonts w:ascii="Times New Roman" w:hAnsi="Times New Roman" w:eastAsia="宋体" w:cs="Times New Roman"/>
          <w:b w:val="0"/>
          <w:bCs w:val="0"/>
          <w:color w:val="auto"/>
          <w:sz w:val="21"/>
        </w:rPr>
        <w:t>分钟级数据存在缺失值。本文先补齐完整分钟时间索引，再对每个缺失点只读取原始序列中更早 7、14、21、28 天的同一分钟观测，并限制在同一日历月内取均值；若这些候选都不存在，则使用最近的更早原始观测前向填充。填充值不会再次充当 donor，程序保存每个 donor 时间并断言 donor_time &lt; value_time。全量审计没有发现非因果 donor。随后按表 1 聚合至日尺度；特征与目标标准化参数只由训练段估计。</w:t>
      </w:r>
    </w:p>
    <w:tbl>
      <w:tblPr>
        <w:tblW w:w="0" w:type="auto"/>
        <w:jc w:val="center"/>
        <w:tblLayout w:type="autofit"/>
        <w:tblCellMar>
          <w:top w:w="0" w:type="dxa"/>
          <w:left w:w="108" w:type="dxa"/>
          <w:bottom w:w="0" w:type="dxa"/>
          <w:right w:w="108" w:type="dxa"/>
        </w:tblCellMar>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814"/>
        <w:gridCol w:w="3402"/>
        <w:gridCol w:w="3515"/>
      </w:tblGrid>
      <w:tr w14:paraId="4E932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val="true"/>
        </w:trPr>
        <w:tc>
          <w:tcPr>
            <w:tcW w:w="1814"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特征类别</w:t>
            </w:r>
          </w:p>
        </w:tc>
        <w:tc>
          <w:tcPr>
            <w:tcW w:w="3402"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字段</w:t>
            </w:r>
          </w:p>
        </w:tc>
        <w:tc>
          <w:tcPr>
            <w:tcW w:w="3515"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日度处理方式</w:t>
            </w:r>
          </w:p>
        </w:tc>
      </w:tr>
      <w:tr w14:paraId="6F3FA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1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目标与功率变量</w:t>
            </w:r>
          </w:p>
        </w:tc>
        <w:tc>
          <w:tcPr>
            <w:tcW w:w="3402"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global_active_power, global_reactive_power</w:t>
            </w:r>
          </w:p>
        </w:tc>
        <w:tc>
          <w:tcPr>
            <w:tcW w:w="351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按天求和</w:t>
            </w:r>
          </w:p>
        </w:tc>
      </w:tr>
      <w:tr w14:paraId="02662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1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电力状态变量</w:t>
            </w:r>
          </w:p>
        </w:tc>
        <w:tc>
          <w:tcPr>
            <w:tcW w:w="3402"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voltage, global_intensity</w:t>
            </w:r>
          </w:p>
        </w:tc>
        <w:tc>
          <w:tcPr>
            <w:tcW w:w="351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按天取平均</w:t>
            </w:r>
          </w:p>
        </w:tc>
      </w:tr>
      <w:tr w14:paraId="041D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1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分表能耗变量</w:t>
            </w:r>
          </w:p>
        </w:tc>
        <w:tc>
          <w:tcPr>
            <w:tcW w:w="3402"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sub_metering_1, sub_metering_2, sub_metering_3</w:t>
            </w:r>
          </w:p>
        </w:tc>
        <w:tc>
          <w:tcPr>
            <w:tcW w:w="351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按天求和</w:t>
            </w:r>
          </w:p>
        </w:tc>
      </w:tr>
      <w:tr w14:paraId="371F1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1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派生能耗变量</w:t>
            </w:r>
          </w:p>
        </w:tc>
        <w:tc>
          <w:tcPr>
            <w:tcW w:w="3402"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sub_metering_remainder</w:t>
            </w:r>
          </w:p>
        </w:tc>
        <w:tc>
          <w:tcPr>
            <w:tcW w:w="351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由总功率与三个分表能耗计算后按天求和</w:t>
            </w:r>
          </w:p>
        </w:tc>
      </w:tr>
      <w:tr w14:paraId="318B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1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气象背景变量</w:t>
            </w:r>
          </w:p>
        </w:tc>
        <w:tc>
          <w:tcPr>
            <w:tcW w:w="3402"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RR, NBJRR1, NBJRR5, NBJRR10</w:t>
            </w:r>
          </w:p>
        </w:tc>
        <w:tc>
          <w:tcPr>
            <w:tcW w:w="351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目标月使用上一个完整月；RR 保持原始 mm；NBJBROU 因严重缺失剔除</w:t>
            </w:r>
          </w:p>
        </w:tc>
      </w:tr>
      <w:tr w14:paraId="7BC6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14" w:type="dxa"/>
            <w:shd w:val="clear" w:color="auto" w:fill="FFFFFF"/>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日期周期变量</w:t>
            </w:r>
          </w:p>
        </w:tc>
        <w:tc>
          <w:tcPr>
            <w:tcW w:w="3402" w:type="dxa"/>
            <w:shd w:val="clear" w:color="auto" w:fill="FFFFFF"/>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dayofweek_sin/cos, month_sin/cos</w:t>
            </w:r>
          </w:p>
        </w:tc>
        <w:tc>
          <w:tcPr>
            <w:tcW w:w="3515" w:type="dxa"/>
            <w:shd w:val="clear" w:color="auto" w:fill="FFFFFF"/>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采用正余弦编码表示周期性</w:t>
            </w:r>
          </w:p>
        </w:tc>
      </w:tr>
    </w:tbl>
    <w:p w14:paraId="7DB53BC7">
      <w:pPr>
        <w:pageBreakBefore w:val="0"/>
        <w:widowControl/>
        <w:kinsoku/>
        <w:wordWrap/>
        <w:overflowPunct/>
        <w:topLinePunct w:val="0"/>
        <w:autoSpaceDE/>
        <w:autoSpaceDN/>
        <w:bidi w:val="0"/>
        <w:adjustRightInd/>
        <w:snapToGrid/>
        <w:spacing w:after="0" w:line="300" w:lineRule="exact"/>
        <w:jc w:val="center"/>
        <w:textAlignment w:val="auto"/>
        <w:rPr>
          <w:rFonts w:hint="eastAsia" w:ascii="黑体" w:hAnsi="黑体" w:eastAsia="黑体" w:cs="黑体"/>
          <w:b w:val="0"/>
          <w:bCs w:val="0"/>
          <w:color w:val="auto"/>
          <w:sz w:val="18"/>
          <w:szCs w:val="18"/>
        </w:rPr>
      </w:pPr>
      <w:r>
        <w:rPr>
          <w:rFonts w:hint="eastAsia" w:ascii="黑体" w:hAnsi="黑体" w:eastAsia="黑体" w:cs="黑体"/>
          <w:b w:val="0"/>
          <w:bCs w:val="0"/>
          <w:color w:val="auto"/>
          <w:sz w:val="18"/>
          <w:szCs w:val="18"/>
        </w:rPr>
        <w:t xml:space="preserve">表 </w:t>
      </w:r>
      <w:r>
        <w:rPr>
          <w:rFonts w:hint="default" w:ascii="Times New Roman" w:hAnsi="Times New Roman" w:eastAsia="黑体" w:cs="Times New Roman"/>
          <w:b w:val="0"/>
          <w:bCs w:val="0"/>
          <w:color w:val="auto"/>
          <w:sz w:val="18"/>
          <w:szCs w:val="18"/>
        </w:rPr>
        <w:t>1</w:t>
      </w:r>
      <w:r>
        <w:rPr>
          <w:rFonts w:hint="eastAsia" w:ascii="黑体" w:hAnsi="黑体" w:eastAsia="黑体" w:cs="黑体"/>
          <w:b w:val="0"/>
          <w:bCs w:val="0"/>
          <w:color w:val="auto"/>
          <w:sz w:val="18"/>
          <w:szCs w:val="18"/>
        </w:rPr>
        <w:t xml:space="preserve"> 特征构造与日度聚合方式</w:t>
      </w:r>
    </w:p>
    <w:p w14:paraId="50D4D31B">
      <w:pPr>
        <w:keepNext w:val="0"/>
        <w:keepLines w:val="0"/>
        <w:pageBreakBefore w:val="0"/>
        <w:widowControl/>
        <w:kinsoku/>
        <w:wordWrap/>
        <w:overflowPunct/>
        <w:topLinePunct w:val="0"/>
        <w:autoSpaceDE/>
        <w:autoSpaceDN/>
        <w:bidi w:val="0"/>
        <w:adjustRightInd/>
        <w:snapToGrid/>
        <w:spacing w:before="50" w:after="50" w:line="300" w:lineRule="exact"/>
        <w:ind w:firstLine="42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监督训练样本采用滑动窗口构造，输入长度固定为 90 天，预测长度 H 分别为 90 和 365；只有输出完全位于训练段的窗口才用于训练。验证和测试均采用固定起点直接预测，每个 horizon 只有 1 个验证窗口和 1 个测试窗口。测试输入固定为 2009-04-11 至 2009-07-09，预测从 2009-07-10 开始。模型在一个前向过程中输出完整 H 天，不读取预测起点之后的测试观测作为后续输入。checkpoint 由固定验证窗口的标准化 MSE 选择，最终 checkpoint 只在固定测试边界评分一次。</w:t>
      </w:r>
    </w:p>
    <w:tbl>
      <w:tblPr>
        <w:tblW w:w="0" w:type="auto"/>
        <w:jc w:val="center"/>
        <w:tblLayout w:type="autofit"/>
        <w:tblCellMar>
          <w:top w:w="0" w:type="dxa"/>
          <w:left w:w="108" w:type="dxa"/>
          <w:bottom w:w="0" w:type="dxa"/>
          <w:right w:w="108" w:type="dxa"/>
        </w:tblCellMar>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2551"/>
        <w:gridCol w:w="5953"/>
      </w:tblGrid>
      <w:tr w14:paraId="0751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val="true"/>
        </w:trPr>
        <w:tc>
          <w:tcPr>
            <w:tcW w:w="2551"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项目</w:t>
            </w:r>
          </w:p>
        </w:tc>
        <w:tc>
          <w:tcPr>
            <w:tcW w:w="5953"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说明</w:t>
            </w:r>
          </w:p>
        </w:tc>
      </w:tr>
      <w:tr w14:paraId="636B8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5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日度样本数</w:t>
            </w:r>
          </w:p>
        </w:tc>
        <w:tc>
          <w:tcPr>
            <w:tcW w:w="5953"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1440 天</w:t>
            </w:r>
          </w:p>
        </w:tc>
      </w:tr>
      <w:tr w14:paraId="65E37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5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时间范围</w:t>
            </w:r>
          </w:p>
        </w:tc>
        <w:tc>
          <w:tcPr>
            <w:tcW w:w="5953"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2006-12-17 至 2010-11-25</w:t>
            </w:r>
          </w:p>
        </w:tc>
      </w:tr>
      <w:tr w14:paraId="3593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5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时间顺序切分</w:t>
            </w:r>
          </w:p>
        </w:tc>
        <w:tc>
          <w:tcPr>
            <w:tcW w:w="5953"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前 65% 为开发段（训练+验证）；训练 571 天 / 验证 365 天 / 测试 504 天</w:t>
            </w:r>
          </w:p>
        </w:tc>
      </w:tr>
      <w:tr w14:paraId="4F72A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5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训练日期</w:t>
            </w:r>
          </w:p>
        </w:tc>
        <w:tc>
          <w:tcPr>
            <w:tcW w:w="5953"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2006-12-17 至 2008-07-09</w:t>
            </w:r>
          </w:p>
        </w:tc>
      </w:tr>
      <w:tr w14:paraId="40B69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5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验证日期</w:t>
            </w:r>
          </w:p>
        </w:tc>
        <w:tc>
          <w:tcPr>
            <w:tcW w:w="5953"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2008-07-10 至 2009-07-09</w:t>
            </w:r>
          </w:p>
        </w:tc>
      </w:tr>
      <w:tr w14:paraId="6BA0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5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测试日期</w:t>
            </w:r>
          </w:p>
        </w:tc>
        <w:tc>
          <w:tcPr>
            <w:tcW w:w="5953"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2009-07-10 至 2010-11-25</w:t>
            </w:r>
          </w:p>
        </w:tc>
      </w:tr>
      <w:tr w14:paraId="04B14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cantSplit/>
        </w:trPr>
        <w:tc>
          <w:tcPr>
            <w:tcW w:w="255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90 天任务</w:t>
            </w:r>
          </w:p>
        </w:tc>
        <w:tc>
          <w:tcPr>
            <w:tcW w:w="5953"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16 个特征；训练 392；验证 1（2008-07-10 至 2008-10-07）；测试 1（2009-07-10 至 2009-10-07）</w:t>
            </w:r>
          </w:p>
        </w:tc>
      </w:tr>
      <w:tr w14:paraId="16AF6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551" w:type="dxa"/>
            <w:shd w:val="clear" w:color="auto" w:fill="FFFFFF"/>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365 天任务</w:t>
            </w:r>
          </w:p>
        </w:tc>
        <w:tc>
          <w:tcPr>
            <w:tcW w:w="5953" w:type="dxa"/>
            <w:shd w:val="clear" w:color="auto" w:fill="FFFFFF"/>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16 个特征；训练 117；验证 1（2008-07-10 至 2009-07-09）；测试 1（2009-07-10 至 2010-07-09）</w:t>
            </w:r>
          </w:p>
        </w:tc>
      </w:tr>
    </w:tbl>
    <w:p w14:paraId="78072DC1">
      <w:pPr>
        <w:pageBreakBefore w:val="0"/>
        <w:widowControl/>
        <w:kinsoku/>
        <w:wordWrap/>
        <w:overflowPunct/>
        <w:topLinePunct w:val="0"/>
        <w:autoSpaceDE/>
        <w:autoSpaceDN/>
        <w:bidi w:val="0"/>
        <w:adjustRightInd/>
        <w:snapToGrid/>
        <w:spacing w:after="0" w:line="300" w:lineRule="exact"/>
        <w:jc w:val="center"/>
        <w:textAlignment w:val="auto"/>
        <w:rPr>
          <w:rFonts w:hint="eastAsia" w:ascii="黑体" w:hAnsi="黑体" w:eastAsia="黑体" w:cs="黑体"/>
          <w:b w:val="0"/>
          <w:bCs w:val="0"/>
          <w:color w:val="auto"/>
          <w:sz w:val="18"/>
          <w:szCs w:val="18"/>
        </w:rPr>
      </w:pPr>
      <w:r>
        <w:rPr>
          <w:rFonts w:hint="eastAsia" w:ascii="黑体" w:hAnsi="黑体" w:eastAsia="黑体" w:cs="黑体"/>
          <w:b w:val="0"/>
          <w:bCs w:val="0"/>
          <w:color w:val="auto"/>
          <w:sz w:val="18"/>
          <w:szCs w:val="18"/>
        </w:rPr>
        <w:t xml:space="preserve">表 </w:t>
      </w:r>
      <w:r>
        <w:rPr>
          <w:rFonts w:hint="default" w:ascii="Times New Roman" w:hAnsi="Times New Roman" w:eastAsia="黑体" w:cs="Times New Roman"/>
          <w:b w:val="0"/>
          <w:bCs w:val="0"/>
          <w:color w:val="auto"/>
          <w:sz w:val="18"/>
          <w:szCs w:val="18"/>
        </w:rPr>
        <w:t>2</w:t>
      </w:r>
      <w:r>
        <w:rPr>
          <w:rFonts w:hint="eastAsia" w:ascii="黑体" w:hAnsi="黑体" w:eastAsia="黑体" w:cs="黑体"/>
          <w:b w:val="0"/>
          <w:bCs w:val="0"/>
          <w:color w:val="auto"/>
          <w:sz w:val="18"/>
          <w:szCs w:val="18"/>
        </w:rPr>
        <w:t xml:space="preserve"> 数据划分与监督样本设置</w:t>
      </w:r>
    </w:p>
    <w:p w14:paraId="57D5287C">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hint="default" w:hAnsi="Cambria Math" w:eastAsia="宋体" w:cs="Times New Roman"/>
          <w:b w:val="0"/>
          <w:bCs w:val="0"/>
          <w:i w:val="0"/>
          <w:color w:val="auto"/>
          <w:sz w:val="21"/>
          <w:szCs w:val="22"/>
          <w:lang w:val="en-US" w:eastAsia="zh-CN" w:bidi="ar-SA"/>
        </w:rPr>
      </w:pPr>
      <w:r>
        <w:rPr>
          <w:rFonts w:hint="eastAsia" w:hAnsi="Cambria Math" w:eastAsia="宋体" w:cs="Times New Roman"/>
          <w:b w:val="0"/>
          <w:bCs w:val="0"/>
          <w:i w:val="0"/>
          <w:color w:val="auto"/>
          <w:sz w:val="21"/>
          <w:szCs w:val="22"/>
          <w:lang w:val="en-US" w:eastAsia="zh-CN" w:bidi="ar-SA"/>
        </w:rPr>
        <w:t>评价方法使用MSE和MAE:</w:t>
      </w:r>
    </w:p>
    <w:p w14:paraId="50618CB2">
      <w:pPr>
        <w:pageBreakBefore w:val="0"/>
        <w:widowControl/>
        <w:kinsoku/>
        <w:wordWrap/>
        <w:overflowPunct/>
        <w:topLinePunct w:val="0"/>
        <w:autoSpaceDE/>
        <w:autoSpaceDN/>
        <w:bidi w:val="0"/>
        <w:adjustRightInd/>
        <w:snapToGrid/>
        <w:spacing w:after="0" w:line="300" w:lineRule="exact"/>
        <w:jc w:val="both"/>
        <w:textAlignment w:val="auto"/>
        <w:rPr>
          <w:rFonts w:ascii="Times New Roman" w:hAnsi="Times New Roman" w:eastAsia="宋体" w:cs="Times New Roman"/>
          <w:b w:val="0"/>
          <w:bCs w:val="0"/>
          <w:color w:val="auto"/>
        </w:rPr>
      </w:pPr>
      <m:oMathPara>
        <m:oMath>
          <m:r>
            <m:rPr>
              <m:sty m:val="p"/>
            </m:rPr>
            <w:rPr>
              <w:rFonts w:ascii="Cambria Math" w:hAnsi="Cambria Math" w:eastAsia="宋体" w:cs="Times New Roman"/>
              <w:color w:val="auto"/>
              <w:sz w:val="21"/>
              <w:szCs w:val="22"/>
              <w:lang w:val="en-US" w:bidi="ar-SA"/>
            </w:rPr>
            <m:t>MSE = (1/N) Σᵢ (yᵢ − ŷᵢ)²</m:t>
          </m:r>
        </m:oMath>
      </m:oMathPara>
    </w:p>
    <w:p w14:paraId="70F5EAEC">
      <w:pPr>
        <w:pageBreakBefore w:val="0"/>
        <w:widowControl/>
        <w:kinsoku/>
        <w:wordWrap/>
        <w:overflowPunct/>
        <w:topLinePunct w:val="0"/>
        <w:autoSpaceDE/>
        <w:autoSpaceDN/>
        <w:bidi w:val="0"/>
        <w:adjustRightInd/>
        <w:snapToGrid/>
        <w:spacing w:after="0" w:line="300" w:lineRule="exact"/>
        <w:jc w:val="both"/>
        <w:textAlignment w:val="auto"/>
        <w:rPr>
          <w:rFonts w:ascii="Times New Roman" w:hAnsi="Times New Roman" w:eastAsia="宋体" w:cs="Times New Roman"/>
          <w:b w:val="0"/>
          <w:bCs w:val="0"/>
          <w:color w:val="auto"/>
        </w:rPr>
      </w:pPr>
      <m:oMathPara>
        <m:oMath>
          <m:r>
            <m:rPr>
              <m:sty m:val="p"/>
            </m:rPr>
            <w:rPr>
              <w:rFonts w:ascii="Cambria Math" w:hAnsi="Cambria Math" w:eastAsia="宋体" w:cs="Times New Roman"/>
              <w:color w:val="auto"/>
              <w:sz w:val="21"/>
              <w:szCs w:val="22"/>
              <w:lang w:val="en-US" w:bidi="ar-SA"/>
            </w:rPr>
            <m:t>MAE = (1/N) Σᵢ |yᵢ − ŷᵢ|</m:t>
          </m:r>
        </m:oMath>
      </m:oMathPara>
    </w:p>
    <w:p w14:paraId="7272966B">
      <w:pPr>
        <w:keepNext w:val="0"/>
        <w:keepLines w:val="0"/>
        <w:pageBreakBefore w:val="0"/>
        <w:widowControl/>
        <w:kinsoku/>
        <w:wordWrap/>
        <w:overflowPunct/>
        <w:topLinePunct w:val="0"/>
        <w:autoSpaceDE/>
        <w:autoSpaceDN/>
        <w:bidi w:val="0"/>
        <w:adjustRightInd/>
        <w:snapToGrid/>
        <w:spacing w:before="50" w:after="50" w:line="300" w:lineRule="exact"/>
        <w:ind w:firstLine="42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其中，每个随机种子的 N=H，表示 2009-07-10 固定测试起点下一次性输出的 H 个预测点。表 6 再对 5 个随机种子的每次窗口指标计算均值与样本标准差。因此，标准差衡量的是同一时间起点上的训练随机性，而不是跨季节或跨预测起点的不确定性。</w:t>
      </w:r>
    </w:p>
    <w:p w14:paraId="78694ED5">
      <w:pPr>
        <w:pStyle w:val="3"/>
        <w:keepNext/>
        <w:keepLines/>
        <w:pageBreakBefore w:val="0"/>
        <w:widowControl/>
        <w:kinsoku/>
        <w:wordWrap/>
        <w:overflowPunct/>
        <w:topLinePunct w:val="0"/>
        <w:autoSpaceDE/>
        <w:autoSpaceDN/>
        <w:bidi w:val="0"/>
        <w:adjustRightInd/>
        <w:snapToGrid/>
        <w:spacing w:before="50" w:after="50" w:line="500" w:lineRule="exact"/>
        <w:jc w:val="left"/>
        <w:textAlignment w:val="auto"/>
        <w:rPr>
          <w:rFonts w:ascii="Times New Roman" w:hAnsi="Times New Roman" w:eastAsia="宋体" w:cs="Times New Roman"/>
          <w:b w:val="0"/>
          <w:bCs w:val="0"/>
          <w:color w:val="auto"/>
          <w:sz w:val="28"/>
          <w:szCs w:val="28"/>
        </w:rPr>
      </w:pPr>
      <w:r>
        <w:rPr>
          <w:rFonts w:ascii="Times New Roman" w:hAnsi="Times New Roman" w:eastAsia="宋体" w:cs="Times New Roman"/>
          <w:b w:val="0"/>
          <w:bCs w:val="0"/>
          <w:color w:val="auto"/>
          <w:sz w:val="28"/>
          <w:szCs w:val="28"/>
        </w:rPr>
        <w:t>2. 模型</w:t>
      </w:r>
    </w:p>
    <w:p w14:paraId="1D57A00F">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本文</w:t>
      </w:r>
      <w:r>
        <w:rPr>
          <w:rFonts w:hint="eastAsia" w:eastAsia="宋体" w:cs="Times New Roman"/>
          <w:b w:val="0"/>
          <w:bCs w:val="0"/>
          <w:color w:val="auto"/>
          <w:sz w:val="21"/>
          <w:lang w:val="en-US" w:eastAsia="zh-CN"/>
        </w:rPr>
        <w:t>实现</w:t>
      </w:r>
      <w:r>
        <w:rPr>
          <w:rFonts w:ascii="Times New Roman" w:hAnsi="Times New Roman" w:eastAsia="宋体" w:cs="Times New Roman"/>
          <w:b w:val="0"/>
          <w:bCs w:val="0"/>
          <w:color w:val="auto"/>
          <w:sz w:val="21"/>
        </w:rPr>
        <w:t>的三</w:t>
      </w:r>
      <w:r>
        <w:rPr>
          <w:rFonts w:hint="eastAsia" w:eastAsia="宋体" w:cs="Times New Roman"/>
          <w:b w:val="0"/>
          <w:bCs w:val="0"/>
          <w:color w:val="auto"/>
          <w:sz w:val="21"/>
          <w:lang w:val="en-US" w:eastAsia="zh-CN"/>
        </w:rPr>
        <w:t>种</w:t>
      </w:r>
      <w:r>
        <w:rPr>
          <w:rFonts w:ascii="Times New Roman" w:hAnsi="Times New Roman" w:eastAsia="宋体" w:cs="Times New Roman"/>
          <w:b w:val="0"/>
          <w:bCs w:val="0"/>
          <w:color w:val="auto"/>
          <w:sz w:val="21"/>
        </w:rPr>
        <w:t>模型</w:t>
      </w:r>
      <w:r>
        <w:rPr>
          <w:rFonts w:hint="eastAsia" w:eastAsia="宋体" w:cs="Times New Roman"/>
          <w:b w:val="0"/>
          <w:bCs w:val="0"/>
          <w:color w:val="auto"/>
          <w:sz w:val="21"/>
          <w:lang w:val="en-US" w:eastAsia="zh-CN"/>
        </w:rPr>
        <w:t>均</w:t>
      </w:r>
      <w:r>
        <w:rPr>
          <w:rFonts w:ascii="Times New Roman" w:hAnsi="Times New Roman" w:eastAsia="宋体" w:cs="Times New Roman"/>
          <w:b w:val="0"/>
          <w:bCs w:val="0"/>
          <w:color w:val="auto"/>
          <w:sz w:val="21"/>
        </w:rPr>
        <w:t>采用一次性输出未来 H 天完整曲线</w:t>
      </w:r>
      <w:r>
        <w:rPr>
          <w:rFonts w:hint="eastAsia" w:eastAsia="宋体" w:cs="Times New Roman"/>
          <w:b w:val="0"/>
          <w:bCs w:val="0"/>
          <w:color w:val="auto"/>
          <w:sz w:val="21"/>
          <w:lang w:val="en-US" w:eastAsia="zh-CN"/>
        </w:rPr>
        <w:t>的</w:t>
      </w:r>
      <w:r>
        <w:rPr>
          <w:rFonts w:ascii="Times New Roman" w:hAnsi="Times New Roman" w:eastAsia="宋体" w:cs="Times New Roman"/>
          <w:b w:val="0"/>
          <w:bCs w:val="0"/>
          <w:color w:val="auto"/>
          <w:sz w:val="21"/>
        </w:rPr>
        <w:t>预测方</w:t>
      </w:r>
      <w:r>
        <w:rPr>
          <w:rFonts w:hint="eastAsia" w:eastAsia="宋体" w:cs="Times New Roman"/>
          <w:b w:val="0"/>
          <w:bCs w:val="0"/>
          <w:color w:val="auto"/>
          <w:sz w:val="21"/>
          <w:lang w:val="en-US" w:eastAsia="zh-CN"/>
        </w:rPr>
        <w:t>式</w:t>
      </w:r>
      <w:r>
        <w:rPr>
          <w:rFonts w:hint="eastAsia" w:eastAsia="宋体" w:cs="Times New Roman"/>
          <w:b w:val="0"/>
          <w:bCs w:val="0"/>
          <w:color w:val="auto"/>
          <w:sz w:val="21"/>
          <w:lang w:eastAsia="zh-CN"/>
        </w:rPr>
        <w:t>，</w:t>
      </w:r>
      <w:r>
        <w:rPr>
          <w:rFonts w:ascii="Times New Roman" w:hAnsi="Times New Roman" w:eastAsia="宋体" w:cs="Times New Roman"/>
          <w:b w:val="0"/>
          <w:bCs w:val="0"/>
          <w:color w:val="auto"/>
          <w:sz w:val="21"/>
        </w:rPr>
        <w:t>这样可以避免递推式多步预测中误差逐步累积的问题。对于 90 天和 365 天两个任务，模型输出维度不同，因此分别训练独立模型。</w:t>
      </w:r>
    </w:p>
    <w:p w14:paraId="48802F5D">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为便于描述，记输入窗口为 X ∈ R^(90×16)，预测目标为 y ∈ R^H，其中 H ∈ {90, 365}。模型首先从输入窗口中学习一个历史表示 h，再通过预测头输出 ŷ = [ŷ</w:t>
      </w:r>
      <w:r>
        <w:rPr>
          <w:rFonts w:ascii="Times New Roman" w:hAnsi="Times New Roman" w:eastAsia="宋体" w:cs="Times New Roman"/>
          <w:b w:val="0"/>
          <w:bCs w:val="0"/>
          <w:color w:val="auto"/>
          <w:sz w:val="21"/>
          <w:vertAlign w:val="subscript"/>
        </w:rPr>
        <w:t>1</w:t>
      </w:r>
      <w:r>
        <w:rPr>
          <w:rFonts w:ascii="Times New Roman" w:hAnsi="Times New Roman" w:eastAsia="宋体" w:cs="Times New Roman"/>
          <w:b w:val="0"/>
          <w:bCs w:val="0"/>
          <w:color w:val="auto"/>
          <w:sz w:val="21"/>
        </w:rPr>
        <w:t>, ŷ</w:t>
      </w:r>
      <w:r>
        <w:rPr>
          <w:rFonts w:ascii="Times New Roman" w:hAnsi="Times New Roman" w:eastAsia="宋体" w:cs="Times New Roman"/>
          <w:b w:val="0"/>
          <w:bCs w:val="0"/>
          <w:color w:val="auto"/>
          <w:sz w:val="21"/>
          <w:vertAlign w:val="subscript"/>
        </w:rPr>
        <w:t>2</w:t>
      </w:r>
      <w:r>
        <w:rPr>
          <w:rFonts w:ascii="Times New Roman" w:hAnsi="Times New Roman" w:eastAsia="宋体" w:cs="Times New Roman"/>
          <w:b w:val="0"/>
          <w:bCs w:val="0"/>
          <w:color w:val="auto"/>
          <w:sz w:val="21"/>
        </w:rPr>
        <w:t>, …, ŷ</w:t>
      </w:r>
      <w:r>
        <w:rPr>
          <w:rFonts w:ascii="Times New Roman" w:hAnsi="Times New Roman" w:eastAsia="宋体" w:cs="Times New Roman"/>
          <w:b w:val="0"/>
          <w:bCs w:val="0"/>
          <w:color w:val="auto"/>
          <w:sz w:val="21"/>
          <w:vertAlign w:val="subscript"/>
        </w:rPr>
        <w:t>H</w:t>
      </w:r>
      <w:r>
        <w:rPr>
          <w:rFonts w:ascii="Times New Roman" w:hAnsi="Times New Roman" w:eastAsia="宋体" w:cs="Times New Roman"/>
          <w:b w:val="0"/>
          <w:bCs w:val="0"/>
          <w:color w:val="auto"/>
          <w:sz w:val="21"/>
        </w:rPr>
        <w:t>]。训练阶段最小化标准化目标空间中的均方误差，测试阶段再反标准化到原始日度尺度计算 MSE 和 MAE。</w:t>
      </w:r>
    </w:p>
    <w:p w14:paraId="057828D1">
      <w:pPr>
        <w:pStyle w:val="4"/>
        <w:keepNext/>
        <w:keepLines/>
        <w:pageBreakBefore w:val="0"/>
        <w:widowControl/>
        <w:kinsoku/>
        <w:wordWrap/>
        <w:overflowPunct/>
        <w:topLinePunct w:val="0"/>
        <w:autoSpaceDE/>
        <w:autoSpaceDN/>
        <w:bidi w:val="0"/>
        <w:adjustRightInd/>
        <w:snapToGrid/>
        <w:spacing w:before="50" w:after="50" w:line="500" w:lineRule="exact"/>
        <w:jc w:val="left"/>
        <w:textAlignment w:val="auto"/>
        <w:rPr>
          <w:rFonts w:ascii="Times New Roman" w:hAnsi="Times New Roman" w:eastAsia="宋体" w:cs="Times New Roman"/>
          <w:b w:val="0"/>
          <w:bCs w:val="0"/>
          <w:color w:val="auto"/>
          <w:sz w:val="24"/>
          <w:szCs w:val="24"/>
        </w:rPr>
      </w:pPr>
      <w:r>
        <w:rPr>
          <w:rFonts w:ascii="Times New Roman" w:hAnsi="Times New Roman" w:eastAsia="宋体" w:cs="Times New Roman"/>
          <w:b w:val="0"/>
          <w:bCs w:val="0"/>
          <w:color w:val="auto"/>
          <w:sz w:val="24"/>
          <w:szCs w:val="24"/>
        </w:rPr>
        <w:t>2.1 LSTM 模型</w:t>
      </w:r>
    </w:p>
    <w:p w14:paraId="76407D98">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LSTM 是经典循环神经网络，适合处理具有顺序依赖的时间序列。设第 t 天的输入特征为 x</w:t>
      </w:r>
      <w:r>
        <w:rPr>
          <w:rFonts w:ascii="Times New Roman" w:hAnsi="Times New Roman" w:eastAsia="宋体" w:cs="Times New Roman"/>
          <w:b w:val="0"/>
          <w:bCs w:val="0"/>
          <w:color w:val="auto"/>
          <w:sz w:val="21"/>
          <w:vertAlign w:val="subscript"/>
        </w:rPr>
        <w:t>t</w:t>
      </w:r>
      <w:r>
        <w:rPr>
          <w:rFonts w:ascii="Times New Roman" w:hAnsi="Times New Roman" w:eastAsia="宋体" w:cs="Times New Roman"/>
          <w:b w:val="0"/>
          <w:bCs w:val="0"/>
          <w:color w:val="auto"/>
          <w:sz w:val="21"/>
        </w:rPr>
        <w:t>，上一时刻隐藏状态和记忆单元分别为 h</w:t>
      </w:r>
      <w:r>
        <w:rPr>
          <w:rFonts w:ascii="Times New Roman" w:hAnsi="Times New Roman" w:eastAsia="宋体" w:cs="Times New Roman"/>
          <w:b w:val="0"/>
          <w:bCs w:val="0"/>
          <w:color w:val="auto"/>
          <w:sz w:val="21"/>
          <w:vertAlign w:val="subscript"/>
        </w:rPr>
        <w:t>{t-1}</w:t>
      </w:r>
      <w:r>
        <w:rPr>
          <w:rFonts w:ascii="Times New Roman" w:hAnsi="Times New Roman" w:eastAsia="宋体" w:cs="Times New Roman"/>
          <w:b w:val="0"/>
          <w:bCs w:val="0"/>
          <w:color w:val="auto"/>
          <w:sz w:val="21"/>
        </w:rPr>
        <w:t xml:space="preserve"> 与 c</w:t>
      </w:r>
      <w:r>
        <w:rPr>
          <w:rFonts w:ascii="Times New Roman" w:hAnsi="Times New Roman" w:eastAsia="宋体" w:cs="Times New Roman"/>
          <w:b w:val="0"/>
          <w:bCs w:val="0"/>
          <w:color w:val="auto"/>
          <w:sz w:val="21"/>
          <w:vertAlign w:val="subscript"/>
        </w:rPr>
        <w:t>{t-1}</w:t>
      </w:r>
      <w:r>
        <w:rPr>
          <w:rFonts w:ascii="Times New Roman" w:hAnsi="Times New Roman" w:eastAsia="宋体" w:cs="Times New Roman"/>
          <w:b w:val="0"/>
          <w:bCs w:val="0"/>
          <w:color w:val="auto"/>
          <w:sz w:val="21"/>
        </w:rPr>
        <w:t>。LSTM 通过输入门、遗忘门和输出门控制信息写入、保留和输出，从而缓解普通 RNN 在长序列训练中容易出现的梯度消失问题。</w:t>
      </w:r>
    </w:p>
    <w:p w14:paraId="6D33DEF9">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门控更新可简写为 i</w:t>
      </w:r>
      <w:r>
        <w:rPr>
          <w:rFonts w:ascii="Times New Roman" w:hAnsi="Times New Roman" w:eastAsia="宋体" w:cs="Times New Roman"/>
          <w:b w:val="0"/>
          <w:bCs w:val="0"/>
          <w:color w:val="auto"/>
          <w:sz w:val="21"/>
          <w:vertAlign w:val="subscript"/>
        </w:rPr>
        <w:t>t</w:t>
      </w:r>
      <w:r>
        <w:rPr>
          <w:rFonts w:ascii="Times New Roman" w:hAnsi="Times New Roman" w:eastAsia="宋体" w:cs="Times New Roman"/>
          <w:b w:val="0"/>
          <w:bCs w:val="0"/>
          <w:color w:val="auto"/>
          <w:sz w:val="21"/>
        </w:rPr>
        <w:t>、f</w:t>
      </w:r>
      <w:r>
        <w:rPr>
          <w:rFonts w:ascii="Times New Roman" w:hAnsi="Times New Roman" w:eastAsia="宋体" w:cs="Times New Roman"/>
          <w:b w:val="0"/>
          <w:bCs w:val="0"/>
          <w:color w:val="auto"/>
          <w:sz w:val="21"/>
          <w:vertAlign w:val="subscript"/>
        </w:rPr>
        <w:t>t</w:t>
      </w:r>
      <w:r>
        <w:rPr>
          <w:rFonts w:ascii="Times New Roman" w:hAnsi="Times New Roman" w:eastAsia="宋体" w:cs="Times New Roman"/>
          <w:b w:val="0"/>
          <w:bCs w:val="0"/>
          <w:color w:val="auto"/>
          <w:sz w:val="21"/>
        </w:rPr>
        <w:t>、o</w:t>
      </w:r>
      <w:r>
        <w:rPr>
          <w:rFonts w:ascii="Times New Roman" w:hAnsi="Times New Roman" w:eastAsia="宋体" w:cs="Times New Roman"/>
          <w:b w:val="0"/>
          <w:bCs w:val="0"/>
          <w:color w:val="auto"/>
          <w:sz w:val="21"/>
          <w:vertAlign w:val="subscript"/>
        </w:rPr>
        <w:t>t</w:t>
      </w:r>
      <w:r>
        <w:rPr>
          <w:rFonts w:ascii="Times New Roman" w:hAnsi="Times New Roman" w:eastAsia="宋体" w:cs="Times New Roman"/>
          <w:b w:val="0"/>
          <w:bCs w:val="0"/>
          <w:color w:val="auto"/>
          <w:sz w:val="21"/>
        </w:rPr>
        <w:t xml:space="preserve"> = sigmoid(W[x</w:t>
      </w:r>
      <w:r>
        <w:rPr>
          <w:rFonts w:ascii="Times New Roman" w:hAnsi="Times New Roman" w:eastAsia="宋体" w:cs="Times New Roman"/>
          <w:b w:val="0"/>
          <w:bCs w:val="0"/>
          <w:color w:val="auto"/>
          <w:sz w:val="21"/>
          <w:vertAlign w:val="subscript"/>
        </w:rPr>
        <w:t>t</w:t>
      </w:r>
      <w:r>
        <w:rPr>
          <w:rFonts w:ascii="Times New Roman" w:hAnsi="Times New Roman" w:eastAsia="宋体" w:cs="Times New Roman"/>
          <w:b w:val="0"/>
          <w:bCs w:val="0"/>
          <w:color w:val="auto"/>
          <w:sz w:val="21"/>
        </w:rPr>
        <w:t>, h</w:t>
      </w:r>
      <w:r>
        <w:rPr>
          <w:rFonts w:ascii="Times New Roman" w:hAnsi="Times New Roman" w:eastAsia="宋体" w:cs="Times New Roman"/>
          <w:b w:val="0"/>
          <w:bCs w:val="0"/>
          <w:color w:val="auto"/>
          <w:sz w:val="21"/>
          <w:vertAlign w:val="subscript"/>
        </w:rPr>
        <w:t>{t-1}</w:t>
      </w:r>
      <w:r>
        <w:rPr>
          <w:rFonts w:ascii="Times New Roman" w:hAnsi="Times New Roman" w:eastAsia="宋体" w:cs="Times New Roman"/>
          <w:b w:val="0"/>
          <w:bCs w:val="0"/>
          <w:color w:val="auto"/>
          <w:sz w:val="21"/>
        </w:rPr>
        <w:t>] + b)，候选记忆 c~</w:t>
      </w:r>
      <w:r>
        <w:rPr>
          <w:rFonts w:ascii="Times New Roman" w:hAnsi="Times New Roman" w:eastAsia="宋体" w:cs="Times New Roman"/>
          <w:b w:val="0"/>
          <w:bCs w:val="0"/>
          <w:color w:val="auto"/>
          <w:sz w:val="21"/>
          <w:vertAlign w:val="subscript"/>
        </w:rPr>
        <w:t>t</w:t>
      </w:r>
      <w:r>
        <w:rPr>
          <w:rFonts w:ascii="Times New Roman" w:hAnsi="Times New Roman" w:eastAsia="宋体" w:cs="Times New Roman"/>
          <w:b w:val="0"/>
          <w:bCs w:val="0"/>
          <w:color w:val="auto"/>
          <w:sz w:val="21"/>
        </w:rPr>
        <w:t xml:space="preserve"> = tanh(W</w:t>
      </w:r>
      <w:r>
        <w:rPr>
          <w:rFonts w:ascii="Times New Roman" w:hAnsi="Times New Roman" w:eastAsia="宋体" w:cs="Times New Roman"/>
          <w:b w:val="0"/>
          <w:bCs w:val="0"/>
          <w:color w:val="auto"/>
          <w:sz w:val="21"/>
          <w:vertAlign w:val="subscript"/>
        </w:rPr>
        <w:t>c</w:t>
      </w:r>
      <w:r>
        <w:rPr>
          <w:rFonts w:ascii="Times New Roman" w:hAnsi="Times New Roman" w:eastAsia="宋体" w:cs="Times New Roman"/>
          <w:b w:val="0"/>
          <w:bCs w:val="0"/>
          <w:color w:val="auto"/>
          <w:sz w:val="21"/>
        </w:rPr>
        <w:t>[x</w:t>
      </w:r>
      <w:r>
        <w:rPr>
          <w:rFonts w:ascii="Times New Roman" w:hAnsi="Times New Roman" w:eastAsia="宋体" w:cs="Times New Roman"/>
          <w:b w:val="0"/>
          <w:bCs w:val="0"/>
          <w:color w:val="auto"/>
          <w:sz w:val="21"/>
          <w:vertAlign w:val="subscript"/>
        </w:rPr>
        <w:t>t</w:t>
      </w:r>
      <w:r>
        <w:rPr>
          <w:rFonts w:ascii="Times New Roman" w:hAnsi="Times New Roman" w:eastAsia="宋体" w:cs="Times New Roman"/>
          <w:b w:val="0"/>
          <w:bCs w:val="0"/>
          <w:color w:val="auto"/>
          <w:sz w:val="21"/>
        </w:rPr>
        <w:t>, h</w:t>
      </w:r>
      <w:r>
        <w:rPr>
          <w:rFonts w:ascii="Times New Roman" w:hAnsi="Times New Roman" w:eastAsia="宋体" w:cs="Times New Roman"/>
          <w:b w:val="0"/>
          <w:bCs w:val="0"/>
          <w:color w:val="auto"/>
          <w:sz w:val="21"/>
          <w:vertAlign w:val="subscript"/>
        </w:rPr>
        <w:t>{t-1}</w:t>
      </w:r>
      <w:r>
        <w:rPr>
          <w:rFonts w:ascii="Times New Roman" w:hAnsi="Times New Roman" w:eastAsia="宋体" w:cs="Times New Roman"/>
          <w:b w:val="0"/>
          <w:bCs w:val="0"/>
          <w:color w:val="auto"/>
          <w:sz w:val="21"/>
        </w:rPr>
        <w:t>] + b</w:t>
      </w:r>
      <w:r>
        <w:rPr>
          <w:rFonts w:ascii="Times New Roman" w:hAnsi="Times New Roman" w:eastAsia="宋体" w:cs="Times New Roman"/>
          <w:b w:val="0"/>
          <w:bCs w:val="0"/>
          <w:color w:val="auto"/>
          <w:sz w:val="21"/>
          <w:vertAlign w:val="subscript"/>
        </w:rPr>
        <w:t>c</w:t>
      </w:r>
      <w:r>
        <w:rPr>
          <w:rFonts w:ascii="Times New Roman" w:hAnsi="Times New Roman" w:eastAsia="宋体" w:cs="Times New Roman"/>
          <w:b w:val="0"/>
          <w:bCs w:val="0"/>
          <w:color w:val="auto"/>
          <w:sz w:val="21"/>
        </w:rPr>
        <w:t>)，再由 f</w:t>
      </w:r>
      <w:r>
        <w:rPr>
          <w:rFonts w:ascii="Times New Roman" w:hAnsi="Times New Roman" w:eastAsia="宋体" w:cs="Times New Roman"/>
          <w:b w:val="0"/>
          <w:bCs w:val="0"/>
          <w:color w:val="auto"/>
          <w:sz w:val="21"/>
          <w:vertAlign w:val="subscript"/>
        </w:rPr>
        <w:t>t</w:t>
      </w:r>
      <w:r>
        <w:rPr>
          <w:rFonts w:ascii="Times New Roman" w:hAnsi="Times New Roman" w:eastAsia="宋体" w:cs="Times New Roman"/>
          <w:b w:val="0"/>
          <w:bCs w:val="0"/>
          <w:color w:val="auto"/>
          <w:sz w:val="21"/>
        </w:rPr>
        <w:t xml:space="preserve"> 与 i</w:t>
      </w:r>
      <w:r>
        <w:rPr>
          <w:rFonts w:ascii="Times New Roman" w:hAnsi="Times New Roman" w:eastAsia="宋体" w:cs="Times New Roman"/>
          <w:b w:val="0"/>
          <w:bCs w:val="0"/>
          <w:color w:val="auto"/>
          <w:sz w:val="21"/>
          <w:vertAlign w:val="subscript"/>
        </w:rPr>
        <w:t>t</w:t>
      </w:r>
      <w:r>
        <w:rPr>
          <w:rFonts w:ascii="Times New Roman" w:hAnsi="Times New Roman" w:eastAsia="宋体" w:cs="Times New Roman"/>
          <w:b w:val="0"/>
          <w:bCs w:val="0"/>
          <w:color w:val="auto"/>
          <w:sz w:val="21"/>
        </w:rPr>
        <w:t>分别控制旧记忆保留和新信息写入。通过这种机制，模型可以在局部日变化与较长时间依赖之间进行折中。</w:t>
      </w:r>
    </w:p>
    <w:p w14:paraId="61DCEDAD">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在本文实现中，LSTM 对过去 90 天的多变量序列按时间顺序编码，并将最后时间步的隐藏状态 h90 作为整个历史窗口的压缩表示。该表示依次经过 LayerNorm、Dropout 和线性预测头，直接生成未来 H 天的 global_active_power 日求和曲线。LSTM 的优势在于结构相对简单，能够较自然地刻画相邻日期之间的连续变化；其局限在于所有历史信息最终被压缩到有限维隐藏状态中，当预测长度扩展到 365 天时，长期季节信息和局部峰谷细节可能被弱化。</w:t>
      </w:r>
    </w:p>
    <w:p w14:paraId="6014951E">
      <w:pPr>
        <w:pStyle w:val="4"/>
        <w:keepNext/>
        <w:keepLines/>
        <w:pageBreakBefore w:val="0"/>
        <w:widowControl/>
        <w:kinsoku/>
        <w:wordWrap/>
        <w:overflowPunct/>
        <w:topLinePunct w:val="0"/>
        <w:autoSpaceDE/>
        <w:autoSpaceDN/>
        <w:bidi w:val="0"/>
        <w:adjustRightInd/>
        <w:snapToGrid/>
        <w:spacing w:before="50" w:after="50" w:line="500" w:lineRule="exact"/>
        <w:jc w:val="left"/>
        <w:textAlignment w:val="auto"/>
        <w:rPr>
          <w:rFonts w:ascii="Times New Roman" w:hAnsi="Times New Roman" w:eastAsia="宋体" w:cs="Times New Roman"/>
          <w:b w:val="0"/>
          <w:bCs w:val="0"/>
          <w:color w:val="auto"/>
          <w:sz w:val="24"/>
          <w:szCs w:val="24"/>
        </w:rPr>
      </w:pPr>
      <w:r>
        <w:rPr>
          <w:rFonts w:ascii="Times New Roman" w:hAnsi="Times New Roman" w:eastAsia="宋体" w:cs="Times New Roman"/>
          <w:b w:val="0"/>
          <w:bCs w:val="0"/>
          <w:color w:val="auto"/>
          <w:sz w:val="24"/>
          <w:szCs w:val="24"/>
        </w:rPr>
        <w:t>2.2 Transformer 模型</w:t>
      </w:r>
    </w:p>
    <w:p w14:paraId="58A3D8E3">
      <w:pPr>
        <w:keepNext w:val="0"/>
        <w:keepLines w:val="0"/>
        <w:pageBreakBefore w:val="0"/>
        <w:widowControl/>
        <w:kinsoku/>
        <w:wordWrap/>
        <w:overflowPunct/>
        <w:topLinePunct w:val="0"/>
        <w:autoSpaceDE/>
        <w:autoSpaceDN/>
        <w:bidi w:val="0"/>
        <w:adjustRightInd/>
        <w:snapToGrid/>
        <w:spacing w:before="50" w:after="50" w:line="300" w:lineRule="exact"/>
        <w:ind w:firstLine="42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标准Transformer 将每天的多变量观测表示为一个时间 token。模型先通过线性层将日度特征向量映射到隐藏空间，再加入位置编码以保留日期顺序信息，随后使用多头自注意力学习不同日期之间的依赖关系。自注意力的核心思想是根据 Query、Key 和 Value 计算各时间 token 之间的相关权重，使模型能够直接连接任意两个日期，而不必像循环结构那样逐步传递信息。</w:t>
      </w:r>
    </w:p>
    <w:p w14:paraId="58E34C81">
      <w:pPr>
        <w:keepNext w:val="0"/>
        <w:keepLines w:val="0"/>
        <w:pageBreakBefore w:val="0"/>
        <w:widowControl/>
        <w:kinsoku/>
        <w:wordWrap/>
        <w:overflowPunct/>
        <w:topLinePunct w:val="0"/>
        <w:autoSpaceDE/>
        <w:autoSpaceDN/>
        <w:bidi w:val="0"/>
        <w:adjustRightInd/>
        <w:snapToGrid/>
        <w:spacing w:before="50" w:after="50" w:line="300" w:lineRule="exact"/>
        <w:ind w:firstLine="420"/>
        <w:jc w:val="both"/>
        <w:textAlignment w:val="auto"/>
        <w:rPr>
          <w:rFonts w:ascii="Times New Roman" w:hAnsi="Times New Roman" w:eastAsia="宋体" w:cs="Times New Roman"/>
          <w:b w:val="0"/>
          <w:bCs w:val="0"/>
          <w:color w:val="auto"/>
          <w:sz w:val="21"/>
        </w:rPr>
      </w:pPr>
      <w:r>
        <w:rPr>
          <w:rFonts w:ascii="Times New Roman" w:hAnsi="Times New Roman" w:eastAsia="宋体" w:cs="Times New Roman"/>
          <w:b w:val="0"/>
          <w:bCs w:val="0"/>
          <w:color w:val="auto"/>
          <w:sz w:val="21"/>
        </w:rPr>
        <w:t>在编码器内部，每一层通常由多头自注意力、前馈网络、残差连接和 LayerNorm 组成。自注意力可写为</w:t>
      </w:r>
    </w:p>
    <w:p w14:paraId="26AE2711">
      <w:pPr>
        <w:keepNext w:val="0"/>
        <w:keepLines w:val="0"/>
        <w:pageBreakBefore w:val="0"/>
        <w:widowControl/>
        <w:kinsoku/>
        <w:wordWrap/>
        <w:overflowPunct/>
        <w:topLinePunct w:val="0"/>
        <w:autoSpaceDE/>
        <w:autoSpaceDN/>
        <w:bidi w:val="0"/>
        <w:adjustRightInd/>
        <w:snapToGrid/>
        <w:spacing w:before="50" w:after="50" w:line="300" w:lineRule="exact"/>
        <w:ind w:firstLine="420"/>
        <w:jc w:val="center"/>
        <w:textAlignment w:val="auto"/>
        <w:rPr>
          <w:rFonts w:ascii="Times New Roman" w:hAnsi="Times New Roman" w:eastAsia="宋体" w:cs="Times New Roman"/>
          <w:b w:val="0"/>
          <w:bCs w:val="0"/>
          <w:color w:val="auto"/>
          <w:sz w:val="21"/>
        </w:rPr>
      </w:pPr>
      <m:oMathPara>
        <m:oMath>
          <m:r>
            <m:rPr/>
            <w:rPr>
              <w:rFonts w:hint="default" w:ascii="Cambria Math" w:hAnsi="Cambria Math" w:eastAsia="宋体"/>
              <w:sz w:val="21"/>
            </w:rPr>
            <m:t>Attention(Q,K,V)=softmax(Q</m:t>
          </m:r>
          <m:sSup>
            <m:sSupPr>
              <m:ctrlPr>
                <w:rPr>
                  <w:rFonts w:hint="default" w:ascii="Cambria Math" w:hAnsi="Cambria Math" w:eastAsia="宋体"/>
                  <w:sz w:val="21"/>
                </w:rPr>
              </m:ctrlPr>
            </m:sSupPr>
            <m:e>
              <m:r>
                <m:rPr/>
                <w:rPr>
                  <w:rFonts w:hint="default" w:ascii="Cambria Math" w:hAnsi="Cambria Math" w:eastAsia="宋体"/>
                  <w:sz w:val="21"/>
                </w:rPr>
                <m:t>K</m:t>
              </m:r>
              <m:ctrlPr>
                <w:rPr>
                  <w:rFonts w:ascii="Cambria Math" w:hAnsi="Cambria Math" w:eastAsia="宋体"/>
                  <w:sz w:val="21"/>
                </w:rPr>
              </m:ctrlPr>
            </m:e>
            <m:sup>
              <m:r>
                <m:rPr/>
                <w:rPr>
                  <w:rFonts w:hint="default" w:ascii="Cambria Math" w:hAnsi="Cambria Math" w:eastAsia="宋体"/>
                  <w:sz w:val="21"/>
                </w:rPr>
                <m:t>T</m:t>
              </m:r>
              <m:ctrlPr>
                <w:rPr>
                  <w:rFonts w:ascii="Cambria Math" w:hAnsi="Cambria Math" w:eastAsia="宋体"/>
                  <w:sz w:val="21"/>
                </w:rPr>
              </m:ctrlPr>
            </m:sup>
          </m:sSup>
          <m:r>
            <m:rPr/>
            <w:rPr>
              <w:rFonts w:hint="default" w:ascii="Cambria Math" w:hAnsi="Cambria Math" w:eastAsia="宋体"/>
              <w:sz w:val="21"/>
            </w:rPr>
            <m:t>/sqrt(</m:t>
          </m:r>
          <m:sSub>
            <m:sSubPr>
              <m:ctrlPr>
                <w:rPr>
                  <w:rFonts w:hint="default" w:ascii="Cambria Math" w:hAnsi="Cambria Math" w:eastAsia="宋体"/>
                  <w:sz w:val="21"/>
                </w:rPr>
              </m:ctrlPr>
            </m:sSubPr>
            <m:e>
              <m:r>
                <m:rPr/>
                <w:rPr>
                  <w:rFonts w:hint="default" w:ascii="Cambria Math" w:hAnsi="Cambria Math" w:eastAsia="宋体"/>
                  <w:sz w:val="21"/>
                </w:rPr>
                <m:t>d</m:t>
              </m:r>
              <m:ctrlPr>
                <w:rPr>
                  <w:rFonts w:ascii="Cambria Math" w:hAnsi="Cambria Math" w:eastAsia="宋体"/>
                  <w:sz w:val="21"/>
                </w:rPr>
              </m:ctrlPr>
            </m:e>
            <m:sub>
              <m:r>
                <m:rPr/>
                <w:rPr>
                  <w:rFonts w:hint="default" w:ascii="Cambria Math" w:hAnsi="Cambria Math" w:eastAsia="宋体"/>
                  <w:sz w:val="21"/>
                </w:rPr>
                <m:t>k</m:t>
              </m:r>
              <m:ctrlPr>
                <w:rPr>
                  <w:rFonts w:ascii="Cambria Math" w:hAnsi="Cambria Math" w:eastAsia="宋体"/>
                  <w:sz w:val="21"/>
                </w:rPr>
              </m:ctrlPr>
            </m:sub>
          </m:sSub>
          <m:r>
            <m:rPr/>
            <w:rPr>
              <w:rFonts w:hint="default" w:ascii="Cambria Math" w:hAnsi="Cambria Math" w:eastAsia="宋体"/>
              <w:sz w:val="21"/>
            </w:rPr>
            <m:t>))</m:t>
          </m:r>
          <m:r>
            <m:rPr>
              <m:sty m:val="p"/>
            </m:rPr>
            <w:rPr>
              <w:rFonts w:ascii="Cambria Math" w:hAnsi="Cambria Math" w:eastAsia="宋体" w:cs="Times New Roman"/>
              <w:color w:val="auto"/>
              <w:sz w:val="21"/>
              <w:szCs w:val="22"/>
              <w:lang w:val="en-US" w:bidi="ar-SA"/>
            </w:rPr>
            <m:t>V</m:t>
          </m:r>
        </m:oMath>
      </m:oMathPara>
    </w:p>
    <w:p w14:paraId="057CA6FD">
      <w:pPr>
        <w:keepNext w:val="0"/>
        <w:keepLines w:val="0"/>
        <w:pageBreakBefore w:val="0"/>
        <w:widowControl/>
        <w:kinsoku/>
        <w:wordWrap/>
        <w:overflowPunct/>
        <w:topLinePunct w:val="0"/>
        <w:autoSpaceDE/>
        <w:autoSpaceDN/>
        <w:bidi w:val="0"/>
        <w:adjustRightInd/>
        <w:snapToGrid/>
        <w:spacing w:before="50" w:after="50" w:line="300" w:lineRule="exact"/>
        <w:ind w:firstLine="42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得到 90 个时间 token 的上下文表示后，本文实现明确取最后一个时间 token 作为窗口级特征，再由线性预测头一次性输出未来 H 天曲线。编码器只接收历史窗口，因此历史 token 之间的双向注意力不构成未来标签泄露。该结构适合捕捉长距离依赖，但在日度样本较少、预测维度较高时更依赖正则化和稳定训练。</w:t>
      </w:r>
    </w:p>
    <w:p w14:paraId="0C61635C">
      <w:pPr>
        <w:pStyle w:val="4"/>
        <w:keepNext/>
        <w:keepLines/>
        <w:pageBreakBefore w:val="0"/>
        <w:widowControl/>
        <w:kinsoku/>
        <w:wordWrap/>
        <w:overflowPunct/>
        <w:topLinePunct w:val="0"/>
        <w:autoSpaceDE/>
        <w:autoSpaceDN/>
        <w:bidi w:val="0"/>
        <w:adjustRightInd/>
        <w:snapToGrid/>
        <w:spacing w:before="50" w:after="50" w:line="500" w:lineRule="exact"/>
        <w:jc w:val="left"/>
        <w:textAlignment w:val="auto"/>
        <w:rPr>
          <w:rFonts w:ascii="Times New Roman" w:hAnsi="Times New Roman" w:eastAsia="宋体" w:cs="Times New Roman"/>
          <w:b w:val="0"/>
          <w:bCs w:val="0"/>
          <w:color w:val="auto"/>
          <w:sz w:val="24"/>
          <w:szCs w:val="24"/>
        </w:rPr>
      </w:pPr>
      <w:r>
        <w:rPr>
          <w:rFonts w:ascii="Times New Roman" w:hAnsi="Times New Roman" w:eastAsia="宋体" w:cs="Times New Roman"/>
          <w:b w:val="0"/>
          <w:bCs w:val="0"/>
          <w:color w:val="auto"/>
          <w:sz w:val="24"/>
          <w:szCs w:val="24"/>
        </w:rPr>
        <w:t>2.3 PVG-iTransformer 改进模型</w:t>
      </w:r>
    </w:p>
    <w:p w14:paraId="7DB7115C">
      <w:pPr>
        <w:keepNext w:val="0"/>
        <w:keepLines w:val="0"/>
        <w:pageBreakBefore w:val="0"/>
        <w:widowControl/>
        <w:kinsoku/>
        <w:wordWrap/>
        <w:overflowPunct/>
        <w:topLinePunct w:val="0"/>
        <w:autoSpaceDE/>
        <w:autoSpaceDN/>
        <w:bidi w:val="0"/>
        <w:adjustRightInd/>
        <w:snapToGrid/>
        <w:spacing w:before="50" w:after="50" w:line="300" w:lineRule="exact"/>
        <w:ind w:firstLine="42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第三部分提出 PVG-iTransformer，即 Patch-Variable Gated iTransformer。该模型的设计目标是重新组织 Transformer 的输入表示，使模型同时从“时间片段模式”和“变量关系结构”两个视角理解家庭用电序列。相较于标准 Transformer 只把“每天”作为 token 的做法，PVG-iTransformer 将同一输入窗口拆分为两个并行分支，并在高层语义空间中进行门控融合。</w:t>
      </w:r>
    </w:p>
    <w:p w14:paraId="4CCC9960">
      <w:pPr>
        <w:keepNext w:val="0"/>
        <w:keepLines w:val="0"/>
        <w:pageBreakBefore w:val="0"/>
        <w:widowControl/>
        <w:kinsoku/>
        <w:wordWrap/>
        <w:overflowPunct/>
        <w:topLinePunct w:val="0"/>
        <w:autoSpaceDE/>
        <w:autoSpaceDN/>
        <w:bidi w:val="0"/>
        <w:adjustRightInd/>
        <w:snapToGrid/>
        <w:spacing w:before="50" w:after="50" w:line="300" w:lineRule="exact"/>
        <w:ind w:firstLine="42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时间 Patch 分支把过去 90 天划分为重叠周级片段。正式配置使用 patch_len=7、stride=3，并强制包含最后一个片段，共得到 29 个 patch token。每个 token 由 7 天、16 个变量的局部轨迹线性嵌入而成，经过两层 Transformer 编码器后取最后一个 patch 状态（time_pooling=last）作为 ftime。周级片段有助于保留工作日/周末差异、局部趋势和阶段性变化。</w:t>
      </w:r>
    </w:p>
    <w:p w14:paraId="0A98EB9C">
      <w:pPr>
        <w:keepNext w:val="0"/>
        <w:keepLines w:val="0"/>
        <w:pageBreakBefore w:val="0"/>
        <w:widowControl/>
        <w:kinsoku/>
        <w:wordWrap/>
        <w:overflowPunct/>
        <w:topLinePunct w:val="0"/>
        <w:autoSpaceDE/>
        <w:autoSpaceDN/>
        <w:bidi w:val="0"/>
        <w:adjustRightInd/>
        <w:snapToGrid/>
        <w:spacing w:before="50" w:after="50" w:line="300" w:lineRule="exact"/>
        <w:ind w:firstLine="42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变量分支借鉴 iTransformer 的反转思想，将输入从“时间 × 变量”转为“变量 × 时间”。16 个变量各自的 90 天历史被线性映射为一个 variable token，并叠加变量 ID 嵌入与 5 类变量组嵌入。两层 Transformer 编码器学习变量间关系后，本文实现取第一个变量（目标功率）token 的编码状态作为 fvar。该分支显式利用目标功率、电流、电压、分表能耗、滞后月度天气和日期周期之间的横向依赖。</w:t>
      </w:r>
    </w:p>
    <w:p w14:paraId="1E87AE2F">
      <w:pPr>
        <w:keepNext w:val="0"/>
        <w:keepLines w:val="0"/>
        <w:pageBreakBefore w:val="0"/>
        <w:widowControl/>
        <w:kinsoku/>
        <w:wordWrap/>
        <w:overflowPunct/>
        <w:topLinePunct w:val="0"/>
        <w:autoSpaceDE/>
        <w:autoSpaceDN/>
        <w:bidi w:val="0"/>
        <w:adjustRightInd/>
        <w:snapToGrid/>
        <w:spacing w:before="50" w:after="50" w:line="300" w:lineRule="exact"/>
        <w:ind w:firstLine="42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两个分支分别得到时间片段表示 f</w:t>
      </w:r>
      <w:r>
        <w:rPr>
          <w:rFonts w:ascii="Times New Roman" w:hAnsi="Times New Roman" w:eastAsia="宋体" w:cs="Times New Roman"/>
          <w:b w:val="0"/>
          <w:bCs w:val="0"/>
          <w:color w:val="auto"/>
          <w:sz w:val="21"/>
          <w:vertAlign w:val="subscript"/>
        </w:rPr>
        <w:t>time</w:t>
      </w:r>
      <w:r>
        <w:rPr>
          <w:rFonts w:ascii="Times New Roman" w:hAnsi="Times New Roman" w:eastAsia="宋体" w:cs="Times New Roman"/>
          <w:b w:val="0"/>
          <w:bCs w:val="0"/>
          <w:color w:val="auto"/>
          <w:sz w:val="21"/>
        </w:rPr>
        <w:t xml:space="preserve"> 和变量关系表示 f</w:t>
      </w:r>
      <w:r>
        <w:rPr>
          <w:rFonts w:ascii="Times New Roman" w:hAnsi="Times New Roman" w:eastAsia="宋体" w:cs="Times New Roman"/>
          <w:b w:val="0"/>
          <w:bCs w:val="0"/>
          <w:color w:val="auto"/>
          <w:sz w:val="21"/>
          <w:vertAlign w:val="subscript"/>
        </w:rPr>
        <w:t>var</w:t>
      </w:r>
      <w:r>
        <w:rPr>
          <w:rFonts w:ascii="Times New Roman" w:hAnsi="Times New Roman" w:eastAsia="宋体" w:cs="Times New Roman"/>
          <w:b w:val="0"/>
          <w:bCs w:val="0"/>
          <w:color w:val="auto"/>
          <w:sz w:val="21"/>
        </w:rPr>
        <w:t>。若直接拼接两类表示，模型需要在预测头中被动学习信息取舍，容易造成冗余。本文引入门控融合机制，根据每个输入样本动态生成权重 g，使模型能够自适应决定更依赖时间 Patch 分支还是变量分支。融合形式为：</w:t>
      </w:r>
    </w:p>
    <w:p w14:paraId="4A507E9D">
      <w:pPr>
        <w:keepNext w:val="0"/>
        <w:keepLines w:val="0"/>
        <w:pageBreakBefore w:val="0"/>
        <w:widowControl/>
        <w:kinsoku/>
        <w:wordWrap/>
        <w:overflowPunct/>
        <w:topLinePunct w:val="0"/>
        <w:autoSpaceDE/>
        <w:autoSpaceDN/>
        <w:bidi w:val="0"/>
        <w:adjustRightInd/>
        <w:snapToGrid/>
        <w:spacing w:before="50" w:after="50" w:line="300" w:lineRule="exact"/>
        <w:jc w:val="center"/>
        <w:textAlignment w:val="auto"/>
        <w:rPr>
          <w:rFonts w:hAnsi="Cambria Math" w:eastAsia="宋体" w:cs="Times New Roman"/>
          <w:b w:val="0"/>
          <w:bCs w:val="0"/>
          <w:i w:val="0"/>
          <w:color w:val="auto"/>
          <w:sz w:val="21"/>
          <w:szCs w:val="22"/>
          <w:lang w:val="en-US" w:bidi="ar-SA"/>
        </w:rPr>
      </w:pPr>
      <m:oMathPara>
        <m:oMath>
          <m:r>
            <m:rPr/>
            <w:rPr>
              <w:rFonts w:hint="default" w:ascii="Cambria Math" w:hAnsi="Cambria Math" w:eastAsia="宋体"/>
              <w:sz w:val="21"/>
            </w:rPr>
            <m:t>g=sigmoid(W[</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time</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var</m:t>
              </m:r>
              <m:ctrlPr>
                <w:rPr>
                  <w:rFonts w:ascii="Cambria Math" w:hAnsi="Cambria Math" w:eastAsia="宋体"/>
                  <w:sz w:val="21"/>
                </w:rPr>
              </m:ctrlPr>
            </m:sub>
          </m:sSub>
          <m:r>
            <m:rPr/>
            <w:rPr>
              <w:rFonts w:hint="default" w:ascii="Cambria Math" w:hAnsi="Cambria Math" w:eastAsia="宋体"/>
              <w:sz w:val="21"/>
            </w:rPr>
            <m:t>]+b)</m:t>
          </m:r>
        </m:oMath>
      </m:oMathPara>
    </w:p>
    <w:p w14:paraId="7DDB8314">
      <w:pPr>
        <w:keepNext w:val="0"/>
        <w:keepLines w:val="0"/>
        <w:pageBreakBefore w:val="0"/>
        <w:widowControl/>
        <w:kinsoku/>
        <w:wordWrap/>
        <w:overflowPunct/>
        <w:topLinePunct w:val="0"/>
        <w:autoSpaceDE/>
        <w:autoSpaceDN/>
        <w:bidi w:val="0"/>
        <w:adjustRightInd/>
        <w:snapToGrid/>
        <w:spacing w:before="50" w:after="50" w:line="300" w:lineRule="exact"/>
        <w:jc w:val="center"/>
        <w:textAlignment w:val="auto"/>
        <w:rPr>
          <w:rFonts w:hint="eastAsia" w:ascii="Times New Roman" w:hAnsi="Times New Roman" w:eastAsia="宋体" w:cs="Times New Roman"/>
          <w:b w:val="0"/>
          <w:bCs w:val="0"/>
          <w:color w:val="auto"/>
          <w:lang w:val="en-US" w:eastAsia="zh-CN"/>
        </w:rPr>
      </w:pPr>
      <m:oMathPara>
        <m:oMath>
          <m:r>
            <m:rPr/>
            <w:rPr>
              <w:rFonts w:hint="default" w:ascii="Cambria Math" w:hAnsi="Cambria Math" w:eastAsia="宋体"/>
              <w:sz w:val="21"/>
            </w:rPr>
            <m:t>f=g⊙</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time</m:t>
              </m:r>
              <m:ctrlPr>
                <w:rPr>
                  <w:rFonts w:ascii="Cambria Math" w:hAnsi="Cambria Math" w:eastAsia="宋体"/>
                  <w:sz w:val="21"/>
                </w:rPr>
              </m:ctrlPr>
            </m:sub>
          </m:sSub>
          <m:r>
            <m:rPr/>
            <w:rPr>
              <w:rFonts w:hint="default" w:ascii="Cambria Math" w:hAnsi="Cambria Math" w:eastAsia="宋体"/>
              <w:sz w:val="21"/>
            </w:rPr>
            <m:t>+(1−g)⊙</m:t>
          </m:r>
          <m:sSub>
            <m:sSubPr>
              <m:ctrlPr>
                <w:rPr>
                  <w:rFonts w:hint="default" w:ascii="Cambria Math" w:hAnsi="Cambria Math" w:eastAsia="宋体"/>
                  <w:sz w:val="21"/>
                </w:rPr>
              </m:ctrlPr>
            </m:sSubPr>
            <m:e>
              <m:r>
                <m:rPr/>
                <w:rPr>
                  <w:rFonts w:hint="default" w:ascii="Cambria Math" w:hAnsi="Cambria Math" w:eastAsia="宋体"/>
                  <w:sz w:val="21"/>
                </w:rPr>
                <m:t>f</m:t>
              </m:r>
              <m:ctrlPr>
                <w:rPr>
                  <w:rFonts w:ascii="Cambria Math" w:hAnsi="Cambria Math" w:eastAsia="宋体"/>
                  <w:sz w:val="21"/>
                </w:rPr>
              </m:ctrlPr>
            </m:e>
            <m:sub>
              <m:r>
                <m:rPr/>
                <w:rPr>
                  <w:rFonts w:hint="default" w:ascii="Cambria Math" w:hAnsi="Cambria Math" w:eastAsia="宋体"/>
                  <w:sz w:val="21"/>
                </w:rPr>
                <m:t>var</m:t>
              </m:r>
              <m:ctrlPr>
                <w:rPr>
                  <w:rFonts w:ascii="Cambria Math" w:hAnsi="Cambria Math" w:eastAsia="宋体"/>
                  <w:sz w:val="21"/>
                </w:rPr>
              </m:ctrlPr>
            </m:sub>
          </m:sSub>
        </m:oMath>
      </m:oMathPara>
    </w:p>
    <w:p w14:paraId="0E93506E">
      <w:pPr>
        <w:keepNext w:val="0"/>
        <w:keepLines w:val="0"/>
        <w:pageBreakBefore w:val="0"/>
        <w:widowControl/>
        <w:kinsoku/>
        <w:wordWrap/>
        <w:overflowPunct/>
        <w:topLinePunct w:val="0"/>
        <w:autoSpaceDE/>
        <w:autoSpaceDN/>
        <w:bidi w:val="0"/>
        <w:adjustRightInd/>
        <w:snapToGrid/>
        <w:spacing w:before="50" w:after="50" w:line="300" w:lineRule="exact"/>
        <w:ind w:firstLine="42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其中 g 为门控权重，⊙ 表示逐元素乘法。若某个历史窗口呈现明显周周期或阶段性趋势，模型可以提高时间 Patch 分支的贡献；若预测更依赖电力状态、分表能耗、月度气象背景或日期周期之间的关系，模型可以提高变量分支的贡献。最终融合表示 f 经预测头映射为长度为 H 的未来总有功功率曲线。</w:t>
      </w:r>
    </w:p>
    <w:p w14:paraId="67DAD0E3">
      <w:pPr>
        <w:keepNext w:val="0"/>
        <w:keepLines w:val="0"/>
        <w:pageBreakBefore w:val="0"/>
        <w:widowControl/>
        <w:kinsoku/>
        <w:wordWrap/>
        <w:overflowPunct/>
        <w:topLinePunct w:val="0"/>
        <w:autoSpaceDE/>
        <w:autoSpaceDN/>
        <w:bidi w:val="0"/>
        <w:adjustRightInd/>
        <w:snapToGrid/>
        <w:spacing w:before="50" w:after="50" w:line="300" w:lineRule="exact"/>
        <w:ind w:firstLine="42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整体前向过程可概括为四步：第一，为输入 X 分别生成 patch token 与 variable token；第二，两个 Transformer 编码器分别输出 f</w:t>
      </w:r>
      <w:r>
        <w:rPr>
          <w:rFonts w:ascii="Times New Roman" w:hAnsi="Times New Roman" w:eastAsia="宋体" w:cs="Times New Roman"/>
          <w:b w:val="0"/>
          <w:bCs w:val="0"/>
          <w:color w:val="auto"/>
          <w:sz w:val="21"/>
          <w:vertAlign w:val="subscript"/>
        </w:rPr>
        <w:t>time</w:t>
      </w:r>
      <w:r>
        <w:rPr>
          <w:rFonts w:ascii="Times New Roman" w:hAnsi="Times New Roman" w:eastAsia="宋体" w:cs="Times New Roman"/>
          <w:b w:val="0"/>
          <w:bCs w:val="0"/>
          <w:color w:val="auto"/>
          <w:sz w:val="21"/>
        </w:rPr>
        <w:t xml:space="preserve"> 与 f</w:t>
      </w:r>
      <w:r>
        <w:rPr>
          <w:rFonts w:ascii="Times New Roman" w:hAnsi="Times New Roman" w:eastAsia="宋体" w:cs="Times New Roman"/>
          <w:b w:val="0"/>
          <w:bCs w:val="0"/>
          <w:color w:val="auto"/>
          <w:sz w:val="21"/>
          <w:vertAlign w:val="subscript"/>
        </w:rPr>
        <w:t>var</w:t>
      </w:r>
      <w:r>
        <w:rPr>
          <w:rFonts w:ascii="Times New Roman" w:hAnsi="Times New Roman" w:eastAsia="宋体" w:cs="Times New Roman"/>
          <w:b w:val="0"/>
          <w:bCs w:val="0"/>
          <w:color w:val="auto"/>
          <w:sz w:val="21"/>
        </w:rPr>
        <w:t>；第三，通过门控权重 g 对两类表示逐元素融合；第四，将融合表示送入预测头，得到未来 90 天或 365 天的预测结果。</w:t>
      </w:r>
    </w:p>
    <w:tbl>
      <w:tblPr>
        <w:tblW w:w="0" w:type="auto"/>
        <w:jc w:val="center"/>
        <w:tblLayout w:type="autofit"/>
        <w:tblCellMar>
          <w:top w:w="0" w:type="dxa"/>
          <w:left w:w="108" w:type="dxa"/>
          <w:bottom w:w="0" w:type="dxa"/>
          <w:right w:w="108" w:type="dxa"/>
        </w:tblCellMar>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871"/>
        <w:gridCol w:w="2268"/>
        <w:gridCol w:w="4535"/>
      </w:tblGrid>
      <w:tr w14:paraId="71DB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cantSplit/>
          <w:tblHeader w:val="true"/>
        </w:trPr>
        <w:tc>
          <w:tcPr>
            <w:tcW w:w="1871"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14:paraId="1F19E82D">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7"/>
              </w:rPr>
              <w:t>模块</w:t>
            </w:r>
          </w:p>
        </w:tc>
        <w:tc>
          <w:tcPr>
            <w:tcW w:w="2268"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14:paraId="52802CBA">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7"/>
              </w:rPr>
              <w:t>输入表示</w:t>
            </w:r>
          </w:p>
        </w:tc>
        <w:tc>
          <w:tcPr>
            <w:tcW w:w="4535"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14:paraId="4C62BA6F">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7"/>
              </w:rPr>
              <w:t>主要作用</w:t>
            </w:r>
          </w:p>
        </w:tc>
      </w:tr>
      <w:tr w14:paraId="6A138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7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14:paraId="1A3D0DE1">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7"/>
              </w:rPr>
              <w:t>时间 Patch 分支</w:t>
            </w:r>
          </w:p>
        </w:tc>
        <w:tc>
          <w:tcPr>
            <w:tcW w:w="2268"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14:paraId="2ECB0C28">
            <w:pPr>
              <w:pageBreakBefore w:val="0"/>
              <w:widowControl/>
              <w:kinsoku/>
              <w:wordWrap/>
              <w:overflowPunct/>
              <w:topLinePunct w:val="0"/>
              <w:autoSpaceDE/>
              <w:autoSpaceDN/>
              <w:bidi w:val="0"/>
              <w:adjustRightInd/>
              <w:snapToGrid/>
              <w:spacing w:after="0" w:line="300" w:lineRule="exact"/>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8"/>
              </w:rPr>
              <w:t>周级重叠 patch token</w:t>
            </w:r>
          </w:p>
        </w:tc>
        <w:tc>
          <w:tcPr>
            <w:tcW w:w="453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14:paraId="0600619C">
            <w:pPr>
              <w:pageBreakBefore w:val="0"/>
              <w:widowControl/>
              <w:kinsoku/>
              <w:wordWrap/>
              <w:overflowPunct/>
              <w:topLinePunct w:val="0"/>
              <w:autoSpaceDE/>
              <w:autoSpaceDN/>
              <w:bidi w:val="0"/>
              <w:adjustRightInd/>
              <w:snapToGrid/>
              <w:spacing w:after="0" w:line="300" w:lineRule="exact"/>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8"/>
              </w:rPr>
              <w:t>刻画局部趋势、周周期和阶段性负荷变化</w:t>
            </w:r>
          </w:p>
        </w:tc>
      </w:tr>
      <w:tr w14:paraId="0401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7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14:paraId="4AE6B3F6">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7"/>
              </w:rPr>
              <w:t>变量分支</w:t>
            </w:r>
          </w:p>
        </w:tc>
        <w:tc>
          <w:tcPr>
            <w:tcW w:w="2268"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14:paraId="253C9207">
            <w:pPr>
              <w:pageBreakBefore w:val="0"/>
              <w:widowControl/>
              <w:kinsoku/>
              <w:wordWrap/>
              <w:overflowPunct/>
              <w:topLinePunct w:val="0"/>
              <w:autoSpaceDE/>
              <w:autoSpaceDN/>
              <w:bidi w:val="0"/>
              <w:adjustRightInd/>
              <w:snapToGrid/>
              <w:spacing w:after="0" w:line="300" w:lineRule="exact"/>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8"/>
              </w:rPr>
              <w:t>variable token（每个变量对应 90 天历史）</w:t>
            </w:r>
          </w:p>
        </w:tc>
        <w:tc>
          <w:tcPr>
            <w:tcW w:w="453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14:paraId="205E5F70">
            <w:pPr>
              <w:pageBreakBefore w:val="0"/>
              <w:widowControl/>
              <w:kinsoku/>
              <w:wordWrap/>
              <w:overflowPunct/>
              <w:topLinePunct w:val="0"/>
              <w:autoSpaceDE/>
              <w:autoSpaceDN/>
              <w:bidi w:val="0"/>
              <w:adjustRightInd/>
              <w:snapToGrid/>
              <w:spacing w:after="0" w:line="300" w:lineRule="exact"/>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8"/>
              </w:rPr>
              <w:t>刻画目标功率、电力状态、分表能耗、天气和日历变量之间的横向依赖</w:t>
            </w:r>
          </w:p>
        </w:tc>
      </w:tr>
      <w:tr w14:paraId="4833C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7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14:paraId="7546639B">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7"/>
              </w:rPr>
              <w:t>门控融合</w:t>
            </w:r>
          </w:p>
        </w:tc>
        <w:tc>
          <w:tcPr>
            <w:tcW w:w="2268"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14:paraId="763A5253">
            <w:pPr>
              <w:pageBreakBefore w:val="0"/>
              <w:widowControl/>
              <w:kinsoku/>
              <w:wordWrap/>
              <w:overflowPunct/>
              <w:topLinePunct w:val="0"/>
              <w:autoSpaceDE/>
              <w:autoSpaceDN/>
              <w:bidi w:val="0"/>
              <w:adjustRightInd/>
              <w:snapToGrid/>
              <w:spacing w:after="0" w:line="300" w:lineRule="exact"/>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8"/>
              </w:rPr>
              <w:t>f</w:t>
            </w:r>
            <w:r>
              <w:rPr>
                <w:rFonts w:ascii="Times New Roman" w:hAnsi="Times New Roman" w:eastAsia="宋体" w:cs="Times New Roman"/>
                <w:b w:val="0"/>
                <w:bCs w:val="0"/>
                <w:color w:val="000000"/>
                <w:sz w:val="18"/>
                <w:vertAlign w:val="subscript"/>
              </w:rPr>
              <w:t>time</w:t>
            </w:r>
            <w:r>
              <w:rPr>
                <w:rFonts w:ascii="Times New Roman" w:hAnsi="Times New Roman" w:eastAsia="宋体" w:cs="Times New Roman"/>
                <w:b w:val="0"/>
                <w:bCs w:val="0"/>
                <w:color w:val="000000"/>
                <w:sz w:val="18"/>
              </w:rPr>
              <w:t>、f</w:t>
            </w:r>
            <w:r>
              <w:rPr>
                <w:rFonts w:ascii="Times New Roman" w:hAnsi="Times New Roman" w:eastAsia="宋体" w:cs="Times New Roman"/>
                <w:b w:val="0"/>
                <w:bCs w:val="0"/>
                <w:color w:val="000000"/>
                <w:sz w:val="18"/>
                <w:vertAlign w:val="subscript"/>
              </w:rPr>
              <w:t>var</w:t>
            </w:r>
            <w:r>
              <w:rPr>
                <w:rFonts w:ascii="Times New Roman" w:hAnsi="Times New Roman" w:eastAsia="宋体" w:cs="Times New Roman"/>
                <w:b w:val="0"/>
                <w:bCs w:val="0"/>
                <w:color w:val="000000"/>
                <w:sz w:val="18"/>
              </w:rPr>
              <w:t xml:space="preserve"> 与样本级门控权重 g</w:t>
            </w:r>
          </w:p>
        </w:tc>
        <w:tc>
          <w:tcPr>
            <w:tcW w:w="453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14:paraId="203AC64C">
            <w:pPr>
              <w:pageBreakBefore w:val="0"/>
              <w:widowControl/>
              <w:kinsoku/>
              <w:wordWrap/>
              <w:overflowPunct/>
              <w:topLinePunct w:val="0"/>
              <w:autoSpaceDE/>
              <w:autoSpaceDN/>
              <w:bidi w:val="0"/>
              <w:adjustRightInd/>
              <w:snapToGrid/>
              <w:spacing w:after="0" w:line="300" w:lineRule="exact"/>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8"/>
              </w:rPr>
              <w:t>根据输入窗口自适应平衡时间片段模式和变量关系信息</w:t>
            </w:r>
          </w:p>
        </w:tc>
      </w:tr>
      <w:tr w14:paraId="4307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871" w:type="dxa"/>
            <w:shd w:val="clear" w:color="auto" w:fill="FFFFFF"/>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14:paraId="02AA21BE">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7"/>
              </w:rPr>
              <w:t>预测头</w:t>
            </w:r>
          </w:p>
        </w:tc>
        <w:tc>
          <w:tcPr>
            <w:tcW w:w="2268" w:type="dxa"/>
            <w:shd w:val="clear" w:color="auto" w:fill="FFFFFF"/>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14:paraId="5E4DC6B4">
            <w:pPr>
              <w:pageBreakBefore w:val="0"/>
              <w:widowControl/>
              <w:kinsoku/>
              <w:wordWrap/>
              <w:overflowPunct/>
              <w:topLinePunct w:val="0"/>
              <w:autoSpaceDE/>
              <w:autoSpaceDN/>
              <w:bidi w:val="0"/>
              <w:adjustRightInd/>
              <w:snapToGrid/>
              <w:spacing w:after="0" w:line="300" w:lineRule="exact"/>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8"/>
              </w:rPr>
              <w:t>融合表示 f</w:t>
            </w:r>
          </w:p>
        </w:tc>
        <w:tc>
          <w:tcPr>
            <w:tcW w:w="4535" w:type="dxa"/>
            <w:shd w:val="clear" w:color="auto" w:fill="FFFFFF"/>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14:paraId="4F3D941C">
            <w:pPr>
              <w:pageBreakBefore w:val="0"/>
              <w:widowControl/>
              <w:kinsoku/>
              <w:wordWrap/>
              <w:overflowPunct/>
              <w:topLinePunct w:val="0"/>
              <w:autoSpaceDE/>
              <w:autoSpaceDN/>
              <w:bidi w:val="0"/>
              <w:adjustRightInd/>
              <w:snapToGrid/>
              <w:spacing w:after="0" w:line="300" w:lineRule="exact"/>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8"/>
              </w:rPr>
              <w:t>直接输出未来 90 天或 365 天总有功功率曲线</w:t>
            </w:r>
          </w:p>
        </w:tc>
      </w:tr>
    </w:tbl>
    <w:p w14:paraId="6483CD4B">
      <w:pPr>
        <w:pageBreakBefore w:val="0"/>
        <w:widowControl/>
        <w:kinsoku/>
        <w:wordWrap/>
        <w:overflowPunct/>
        <w:topLinePunct w:val="0"/>
        <w:autoSpaceDE/>
        <w:autoSpaceDN/>
        <w:bidi w:val="0"/>
        <w:adjustRightInd/>
        <w:snapToGrid/>
        <w:spacing w:after="0" w:line="300" w:lineRule="exact"/>
        <w:jc w:val="center"/>
        <w:textAlignment w:val="auto"/>
        <w:rPr>
          <w:rFonts w:hint="eastAsia" w:ascii="黑体" w:hAnsi="黑体" w:eastAsia="黑体" w:cs="黑体"/>
          <w:b w:val="0"/>
          <w:bCs w:val="0"/>
          <w:color w:val="auto"/>
          <w:sz w:val="18"/>
          <w:szCs w:val="18"/>
        </w:rPr>
      </w:pPr>
      <w:r>
        <w:rPr>
          <w:rFonts w:hint="eastAsia" w:ascii="黑体" w:hAnsi="黑体" w:eastAsia="黑体" w:cs="黑体"/>
          <w:b w:val="0"/>
          <w:bCs w:val="0"/>
          <w:color w:val="auto"/>
          <w:sz w:val="18"/>
          <w:szCs w:val="18"/>
        </w:rPr>
        <w:t xml:space="preserve">表 </w:t>
      </w:r>
      <w:r>
        <w:rPr>
          <w:rFonts w:hint="default" w:ascii="Times New Roman" w:hAnsi="Times New Roman" w:eastAsia="宋体" w:cs="Times New Roman"/>
          <w:b w:val="0"/>
          <w:bCs w:val="0"/>
          <w:color w:val="auto"/>
          <w:sz w:val="18"/>
          <w:szCs w:val="18"/>
        </w:rPr>
        <w:t>3</w:t>
      </w:r>
      <w:r>
        <w:rPr>
          <w:rFonts w:hint="eastAsia" w:ascii="黑体" w:hAnsi="黑体" w:eastAsia="黑体" w:cs="黑体"/>
          <w:b w:val="0"/>
          <w:bCs w:val="0"/>
          <w:color w:val="auto"/>
          <w:sz w:val="18"/>
          <w:szCs w:val="18"/>
        </w:rPr>
        <w:t xml:space="preserve"> PVG-iTransformer 的结构组成</w:t>
      </w:r>
    </w:p>
    <w:tbl>
      <w:tblPr>
        <w:tblW w:w="0" w:type="auto"/>
        <w:jc w:val="center"/>
        <w:tblLayout w:type="autofit"/>
        <w:tblCellMar>
          <w:top w:w="0" w:type="dxa"/>
          <w:left w:w="108" w:type="dxa"/>
          <w:bottom w:w="0" w:type="dxa"/>
          <w:right w:w="108" w:type="dxa"/>
        </w:tblCellMar>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361"/>
        <w:gridCol w:w="4082"/>
        <w:gridCol w:w="3175"/>
      </w:tblGrid>
      <w:tr w14:paraId="02D5D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val="true"/>
        </w:trPr>
        <w:tc>
          <w:tcPr>
            <w:tcW w:w="1361"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14:paraId="55385716">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7"/>
              </w:rPr>
              <w:t>模型</w:t>
            </w:r>
          </w:p>
        </w:tc>
        <w:tc>
          <w:tcPr>
            <w:tcW w:w="4082"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14:paraId="1FB99685">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7"/>
              </w:rPr>
              <w:t>建模方式</w:t>
            </w:r>
          </w:p>
        </w:tc>
        <w:tc>
          <w:tcPr>
            <w:tcW w:w="3175"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14:paraId="4B8589B0">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7"/>
              </w:rPr>
              <w:t>作用</w:t>
            </w:r>
          </w:p>
        </w:tc>
      </w:tr>
      <w:tr w14:paraId="45866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36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14:paraId="6559C6DF">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7"/>
              </w:rPr>
              <w:t>LSTM</w:t>
            </w:r>
          </w:p>
        </w:tc>
        <w:tc>
          <w:tcPr>
            <w:tcW w:w="4082"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14:paraId="6E194B60">
            <w:pPr>
              <w:pageBreakBefore w:val="0"/>
              <w:widowControl/>
              <w:kinsoku/>
              <w:wordWrap/>
              <w:overflowPunct/>
              <w:topLinePunct w:val="0"/>
              <w:autoSpaceDE/>
              <w:autoSpaceDN/>
              <w:bidi w:val="0"/>
              <w:adjustRightInd/>
              <w:snapToGrid/>
              <w:spacing w:after="0" w:line="300" w:lineRule="exact"/>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8"/>
              </w:rPr>
              <w:t>按时间递归编码 90 天历史窗口，使用最后隐藏状态形成窗口表示并输出未来曲线。</w:t>
            </w:r>
          </w:p>
        </w:tc>
        <w:tc>
          <w:tcPr>
            <w:tcW w:w="317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14:paraId="125740AD">
            <w:pPr>
              <w:pageBreakBefore w:val="0"/>
              <w:widowControl/>
              <w:kinsoku/>
              <w:wordWrap/>
              <w:overflowPunct/>
              <w:topLinePunct w:val="0"/>
              <w:autoSpaceDE/>
              <w:autoSpaceDN/>
              <w:bidi w:val="0"/>
              <w:adjustRightInd/>
              <w:snapToGrid/>
              <w:spacing w:after="0" w:line="300" w:lineRule="exact"/>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8"/>
              </w:rPr>
              <w:t>结构简单；对相邻日期连续性敏感，长期信息可能被压缩。</w:t>
            </w:r>
          </w:p>
        </w:tc>
      </w:tr>
      <w:tr w14:paraId="2DCE3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36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14:paraId="4F2EF34E">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7"/>
              </w:rPr>
              <w:t>Transformer</w:t>
            </w:r>
          </w:p>
        </w:tc>
        <w:tc>
          <w:tcPr>
            <w:tcW w:w="4082"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14:paraId="28B09C84">
            <w:pPr>
              <w:pageBreakBefore w:val="0"/>
              <w:widowControl/>
              <w:kinsoku/>
              <w:wordWrap/>
              <w:overflowPunct/>
              <w:topLinePunct w:val="0"/>
              <w:autoSpaceDE/>
              <w:autoSpaceDN/>
              <w:bidi w:val="0"/>
              <w:adjustRightInd/>
              <w:snapToGrid/>
              <w:spacing w:after="0" w:line="300" w:lineRule="exact"/>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8"/>
              </w:rPr>
              <w:t>将每天的多变量观测作为时间 token，用多头自注意力建模日期之间的依赖。</w:t>
            </w:r>
          </w:p>
        </w:tc>
        <w:tc>
          <w:tcPr>
            <w:tcW w:w="317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14:paraId="75A61F9C">
            <w:pPr>
              <w:pageBreakBefore w:val="0"/>
              <w:widowControl/>
              <w:kinsoku/>
              <w:wordWrap/>
              <w:overflowPunct/>
              <w:topLinePunct w:val="0"/>
              <w:autoSpaceDE/>
              <w:autoSpaceDN/>
              <w:bidi w:val="0"/>
              <w:adjustRightInd/>
              <w:snapToGrid/>
              <w:spacing w:after="0" w:line="300" w:lineRule="exact"/>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8"/>
              </w:rPr>
              <w:t>可捕捉长距离依赖；样本少、输出长时稳定性受影响。</w:t>
            </w:r>
          </w:p>
        </w:tc>
      </w:tr>
      <w:tr w14:paraId="1C7B0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361" w:type="dxa"/>
            <w:shd w:val="clear" w:color="auto" w:fill="FFFFFF"/>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14:paraId="7B6B0BE9">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7"/>
              </w:rPr>
              <w:t>PVG-iTransformer</w:t>
            </w:r>
          </w:p>
        </w:tc>
        <w:tc>
          <w:tcPr>
            <w:tcW w:w="4082" w:type="dxa"/>
            <w:shd w:val="clear" w:color="auto" w:fill="FFFFFF"/>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14:paraId="259D2252">
            <w:pPr>
              <w:pageBreakBefore w:val="0"/>
              <w:widowControl/>
              <w:kinsoku/>
              <w:wordWrap/>
              <w:overflowPunct/>
              <w:topLinePunct w:val="0"/>
              <w:autoSpaceDE/>
              <w:autoSpaceDN/>
              <w:bidi w:val="0"/>
              <w:adjustRightInd/>
              <w:snapToGrid/>
              <w:spacing w:after="0" w:line="300" w:lineRule="exact"/>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8"/>
              </w:rPr>
              <w:t>同时构造时间 patch token 与变量 token，并通过门控机制融合双视角表示。</w:t>
            </w:r>
          </w:p>
        </w:tc>
        <w:tc>
          <w:tcPr>
            <w:tcW w:w="3175" w:type="dxa"/>
            <w:shd w:val="clear" w:color="auto" w:fill="FFFFFF"/>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14:paraId="46E75C3C">
            <w:pPr>
              <w:pageBreakBefore w:val="0"/>
              <w:widowControl/>
              <w:kinsoku/>
              <w:wordWrap/>
              <w:overflowPunct/>
              <w:topLinePunct w:val="0"/>
              <w:autoSpaceDE/>
              <w:autoSpaceDN/>
              <w:bidi w:val="0"/>
              <w:adjustRightInd/>
              <w:snapToGrid/>
              <w:spacing w:after="0" w:line="300" w:lineRule="exact"/>
              <w:textAlignment w:val="auto"/>
              <w:rPr>
                <w:rFonts w:ascii="Times New Roman" w:hAnsi="Times New Roman" w:eastAsia="宋体" w:cs="Times New Roman"/>
                <w:b w:val="0"/>
                <w:bCs w:val="0"/>
                <w:color w:val="000000"/>
              </w:rPr>
            </w:pPr>
            <w:r>
              <w:rPr>
                <w:rFonts w:ascii="Times New Roman" w:hAnsi="Times New Roman" w:eastAsia="宋体" w:cs="Times New Roman"/>
                <w:b w:val="0"/>
                <w:bCs w:val="0"/>
                <w:color w:val="000000"/>
                <w:sz w:val="18"/>
              </w:rPr>
              <w:t>兼顾周级片段模式与跨变量依赖，是本文改进模型。</w:t>
            </w:r>
          </w:p>
        </w:tc>
      </w:tr>
    </w:tbl>
    <w:p w14:paraId="395DD7D7">
      <w:pPr>
        <w:pageBreakBefore w:val="0"/>
        <w:widowControl/>
        <w:kinsoku/>
        <w:wordWrap/>
        <w:overflowPunct/>
        <w:topLinePunct w:val="0"/>
        <w:autoSpaceDE/>
        <w:autoSpaceDN/>
        <w:bidi w:val="0"/>
        <w:adjustRightInd/>
        <w:snapToGrid/>
        <w:spacing w:after="0" w:line="300" w:lineRule="exact"/>
        <w:jc w:val="center"/>
        <w:textAlignment w:val="auto"/>
        <w:rPr>
          <w:rFonts w:hint="eastAsia" w:ascii="黑体" w:hAnsi="黑体" w:eastAsia="黑体" w:cs="黑体"/>
          <w:b w:val="0"/>
          <w:bCs w:val="0"/>
          <w:color w:val="auto"/>
          <w:sz w:val="18"/>
          <w:szCs w:val="18"/>
        </w:rPr>
      </w:pPr>
      <w:r>
        <w:rPr>
          <w:rFonts w:hint="eastAsia" w:ascii="黑体" w:hAnsi="黑体" w:eastAsia="黑体" w:cs="黑体"/>
          <w:b w:val="0"/>
          <w:bCs w:val="0"/>
          <w:color w:val="auto"/>
          <w:sz w:val="18"/>
          <w:szCs w:val="18"/>
        </w:rPr>
        <w:t xml:space="preserve">表 </w:t>
      </w:r>
      <w:r>
        <w:rPr>
          <w:rFonts w:hint="default" w:ascii="Times New Roman" w:hAnsi="Times New Roman" w:eastAsia="黑体" w:cs="Times New Roman"/>
          <w:b w:val="0"/>
          <w:bCs w:val="0"/>
          <w:color w:val="auto"/>
          <w:sz w:val="18"/>
          <w:szCs w:val="18"/>
        </w:rPr>
        <w:t>4</w:t>
      </w:r>
      <w:r>
        <w:rPr>
          <w:rFonts w:hint="eastAsia" w:ascii="黑体" w:hAnsi="黑体" w:eastAsia="黑体" w:cs="黑体"/>
          <w:b w:val="0"/>
          <w:bCs w:val="0"/>
          <w:color w:val="auto"/>
          <w:sz w:val="18"/>
          <w:szCs w:val="18"/>
        </w:rPr>
        <w:t xml:space="preserve"> 三类模型的建模思路比较</w:t>
      </w:r>
    </w:p>
    <w:p w14:paraId="7235B077">
      <w:pPr>
        <w:pStyle w:val="4"/>
        <w:keepNext/>
        <w:keepLines/>
        <w:pageBreakBefore w:val="0"/>
        <w:widowControl/>
        <w:kinsoku/>
        <w:wordWrap/>
        <w:overflowPunct/>
        <w:topLinePunct w:val="0"/>
        <w:autoSpaceDE/>
        <w:autoSpaceDN/>
        <w:bidi w:val="0"/>
        <w:adjustRightInd/>
        <w:snapToGrid/>
        <w:spacing w:before="50" w:after="50" w:line="500" w:lineRule="exact"/>
        <w:jc w:val="left"/>
        <w:textAlignment w:val="auto"/>
        <w:rPr>
          <w:rFonts w:ascii="Times New Roman" w:hAnsi="Times New Roman" w:eastAsia="宋体" w:cs="Times New Roman"/>
          <w:b w:val="0"/>
          <w:bCs w:val="0"/>
          <w:color w:val="auto"/>
          <w:sz w:val="24"/>
          <w:szCs w:val="24"/>
        </w:rPr>
      </w:pPr>
      <w:r>
        <w:rPr>
          <w:rFonts w:ascii="Times New Roman" w:hAnsi="Times New Roman" w:eastAsia="宋体" w:cs="Times New Roman"/>
          <w:b w:val="0"/>
          <w:bCs w:val="0"/>
          <w:color w:val="auto"/>
          <w:sz w:val="24"/>
          <w:szCs w:val="24"/>
        </w:rPr>
        <w:t>2.4 训练设置</w:t>
      </w:r>
    </w:p>
    <w:p w14:paraId="7C1CC9AC">
      <w:pPr>
        <w:keepNext w:val="0"/>
        <w:keepLines w:val="0"/>
        <w:pageBreakBefore w:val="0"/>
        <w:widowControl/>
        <w:kinsoku/>
        <w:wordWrap/>
        <w:overflowPunct/>
        <w:topLinePunct w:val="0"/>
        <w:autoSpaceDE/>
        <w:autoSpaceDN/>
        <w:bidi w:val="0"/>
        <w:adjustRightInd/>
        <w:snapToGrid/>
        <w:spacing w:before="50" w:after="50" w:line="300" w:lineRule="exact"/>
        <w:ind w:firstLine="42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为保证三类模型之间的比较一致，所有模型使用相同的数据切分、标准化方式、固定起点评价流程和随机种子设置。模型在标准化目标空间中优化 MSE；每轮结束后在固定验证窗口上评分并保留验证 MSE 最低的 checkpoint，最终测试只运行一次。每种模型、每个预测长度使用随机种子 42、43、44、45 和 46 共 5 次训练。</w:t>
      </w:r>
    </w:p>
    <w:tbl>
      <w:tblPr>
        <w:tblW w:w="0" w:type="auto"/>
        <w:jc w:val="center"/>
        <w:tblLayout w:type="autofit"/>
        <w:tblCellMar>
          <w:top w:w="0" w:type="dxa"/>
          <w:left w:w="108" w:type="dxa"/>
          <w:bottom w:w="0" w:type="dxa"/>
          <w:right w:w="108" w:type="dxa"/>
        </w:tblCellMar>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2835"/>
        <w:gridCol w:w="5386"/>
      </w:tblGrid>
      <w:tr w14:paraId="28150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blHeader w:val="true"/>
        </w:trPr>
        <w:tc>
          <w:tcPr>
            <w:tcW w:w="2835"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设置项</w:t>
            </w:r>
          </w:p>
        </w:tc>
        <w:tc>
          <w:tcPr>
            <w:tcW w:w="5386"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取值</w:t>
            </w:r>
          </w:p>
        </w:tc>
      </w:tr>
      <w:tr w14:paraId="7BA5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83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优化器</w:t>
            </w:r>
          </w:p>
        </w:tc>
        <w:tc>
          <w:tcPr>
            <w:tcW w:w="5386"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AdamW（weight decay=1e-4）</w:t>
            </w:r>
          </w:p>
        </w:tc>
      </w:tr>
      <w:tr w14:paraId="49B5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83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学习率</w:t>
            </w:r>
          </w:p>
        </w:tc>
        <w:tc>
          <w:tcPr>
            <w:tcW w:w="5386"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1e-3</w:t>
            </w:r>
          </w:p>
        </w:tc>
      </w:tr>
      <w:tr w14:paraId="0D53B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83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Batch size</w:t>
            </w:r>
          </w:p>
        </w:tc>
        <w:tc>
          <w:tcPr>
            <w:tcW w:w="5386"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32</w:t>
            </w:r>
          </w:p>
        </w:tc>
      </w:tr>
      <w:tr w14:paraId="4E414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83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训练轮数</w:t>
            </w:r>
          </w:p>
        </w:tc>
        <w:tc>
          <w:tcPr>
            <w:tcW w:w="5386"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最多 30 epochs</w:t>
            </w:r>
          </w:p>
        </w:tc>
      </w:tr>
      <w:tr w14:paraId="07C15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83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训练损失</w:t>
            </w:r>
          </w:p>
        </w:tc>
        <w:tc>
          <w:tcPr>
            <w:tcW w:w="5386"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标准化目标空间中的 MSE；梯度裁剪 1.0</w:t>
            </w:r>
          </w:p>
        </w:tc>
      </w:tr>
      <w:tr w14:paraId="5750D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83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Checkpoint</w:t>
            </w:r>
          </w:p>
        </w:tc>
        <w:tc>
          <w:tcPr>
            <w:tcW w:w="5386"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固定验证窗口 MSE 最低</w:t>
            </w:r>
          </w:p>
        </w:tc>
      </w:tr>
      <w:tr w14:paraId="2993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835"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测试协议</w:t>
            </w:r>
          </w:p>
        </w:tc>
        <w:tc>
          <w:tcPr>
            <w:tcW w:w="5386"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8"/>
              </w:rPr>
              <w:t>2009-07-10 固定起点，一次性输出完整 horizon</w:t>
            </w:r>
          </w:p>
        </w:tc>
      </w:tr>
      <w:tr>
        <w:trPr>
          <w:cantSplit/>
        </w:trPr>
        <w:tc>
          <w:tcPr>
            <w:tcW w:type="dxa" w:w="2835"/>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r/>
            <w:r>
              <w:t>重复实验</w:t>
            </w:r>
          </w:p>
        </w:tc>
        <w:tc>
          <w:tcPr>
            <w:tcW w:type="dxa" w:w="5386"/>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r/>
            <w:r>
              <w:t>5 个随机种子：42、43、44、45、46</w:t>
            </w:r>
          </w:p>
        </w:tc>
      </w:tr>
    </w:tbl>
    <w:p w14:paraId="0436F4DD">
      <w:pPr>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auto"/>
        </w:rPr>
      </w:pPr>
      <w:r>
        <w:rPr>
          <w:rFonts w:hint="eastAsia" w:ascii="黑体" w:hAnsi="黑体" w:eastAsia="黑体" w:cs="黑体"/>
          <w:b w:val="0"/>
          <w:bCs w:val="0"/>
          <w:color w:val="auto"/>
          <w:sz w:val="18"/>
          <w:szCs w:val="18"/>
        </w:rPr>
        <w:t xml:space="preserve">表 </w:t>
      </w:r>
      <w:r>
        <w:rPr>
          <w:rFonts w:hint="default" w:ascii="Times New Roman" w:hAnsi="Times New Roman" w:eastAsia="黑体" w:cs="Times New Roman"/>
          <w:b w:val="0"/>
          <w:bCs w:val="0"/>
          <w:color w:val="auto"/>
          <w:sz w:val="18"/>
          <w:szCs w:val="18"/>
        </w:rPr>
        <w:t>5</w:t>
      </w:r>
      <w:r>
        <w:rPr>
          <w:rFonts w:hint="eastAsia" w:ascii="黑体" w:hAnsi="黑体" w:eastAsia="黑体" w:cs="黑体"/>
          <w:b w:val="0"/>
          <w:bCs w:val="0"/>
          <w:color w:val="auto"/>
          <w:sz w:val="18"/>
          <w:szCs w:val="18"/>
        </w:rPr>
        <w:t xml:space="preserve"> 统一训练设置</w:t>
      </w:r>
    </w:p>
    <w:p w14:paraId="2435C1F8">
      <w:pPr>
        <w:pStyle w:val="3"/>
        <w:keepNext/>
        <w:keepLines/>
        <w:pageBreakBefore/>
        <w:widowControl/>
        <w:kinsoku/>
        <w:wordWrap/>
        <w:overflowPunct/>
        <w:topLinePunct w:val="0"/>
        <w:autoSpaceDE/>
        <w:autoSpaceDN/>
        <w:bidi w:val="0"/>
        <w:adjustRightInd/>
        <w:snapToGrid/>
        <w:spacing w:before="50" w:after="50" w:line="500" w:lineRule="exact"/>
        <w:jc w:val="left"/>
        <w:textAlignment w:val="auto"/>
        <w:rPr>
          <w:rFonts w:ascii="Times New Roman" w:hAnsi="Times New Roman" w:eastAsia="宋体" w:cs="Times New Roman"/>
          <w:b w:val="0"/>
          <w:bCs w:val="0"/>
          <w:color w:val="auto"/>
          <w:sz w:val="28"/>
          <w:szCs w:val="28"/>
        </w:rPr>
      </w:pPr>
      <w:r>
        <w:rPr>
          <w:rFonts w:ascii="Times New Roman" w:hAnsi="Times New Roman" w:eastAsia="宋体" w:cs="Times New Roman"/>
          <w:b w:val="0"/>
          <w:bCs w:val="0"/>
          <w:color w:val="auto"/>
          <w:sz w:val="28"/>
          <w:szCs w:val="28"/>
        </w:rPr>
        <w:t>3. 结果与分析</w:t>
      </w:r>
    </w:p>
    <w:tbl>
      <w:tblPr>
        <w:tblW w:w="0" w:type="auto"/>
        <w:jc w:val="center"/>
        <w:tblLayout w:type="autofit"/>
        <w:tblCellMar>
          <w:top w:w="0" w:type="dxa"/>
          <w:left w:w="108" w:type="dxa"/>
          <w:bottom w:w="0" w:type="dxa"/>
          <w:right w:w="108" w:type="dxa"/>
        </w:tblCellMar>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2041"/>
        <w:gridCol w:w="1304"/>
        <w:gridCol w:w="2551"/>
        <w:gridCol w:w="2268"/>
        <w:gridCol w:w="794"/>
      </w:tblGrid>
      <w:tr w14:paraId="444C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jc w:val="center"/>
          <w:cantSplit/>
          <w:tblHeader w:val="true"/>
        </w:trPr>
        <w:tc>
          <w:tcPr>
            <w:tcW w:w="2041"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模型/方法</w:t>
            </w:r>
          </w:p>
        </w:tc>
        <w:tc>
          <w:tcPr>
            <w:tcW w:w="1304"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预测天数</w:t>
            </w:r>
          </w:p>
        </w:tc>
        <w:tc>
          <w:tcPr>
            <w:tcW w:w="2551"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MSE 均值±std</w:t>
            </w:r>
          </w:p>
        </w:tc>
        <w:tc>
          <w:tcPr>
            <w:tcW w:w="2268"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MAE 均值±std</w:t>
            </w:r>
          </w:p>
        </w:tc>
        <w:tc>
          <w:tcPr>
            <w:tcW w:w="794" w:type="dxa"/>
            <w:shd w:val="clear" w:color="auto" w:fill="FFFFFF"/>
            <w:vAlign w:val="center"/>
            <w:tcBorders>
              <w:top w:val="single" w:sz="12" w:space="0" w:color="000000"/>
              <w:left w:val="nil" w:sz="0" w:space="0" w:color="000000"/>
              <w:bottom w:val="single" w:sz="6"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运行数</w:t>
            </w:r>
          </w:p>
        </w:tc>
      </w:tr>
      <w:tr w14:paraId="5C59D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04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LSTM</w:t>
            </w:r>
          </w:p>
        </w:tc>
        <w:tc>
          <w:tcPr>
            <w:tcW w:w="130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90</w:t>
            </w:r>
          </w:p>
        </w:tc>
        <w:tc>
          <w:tcPr>
            <w:tcW w:w="255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184773.74 ± 43647.35</w:t>
            </w:r>
          </w:p>
        </w:tc>
        <w:tc>
          <w:tcPr>
            <w:tcW w:w="2268"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348.12 ± 41.61</w:t>
            </w:r>
          </w:p>
        </w:tc>
        <w:tc>
          <w:tcPr>
            <w:tcW w:w="79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5</w:t>
            </w:r>
          </w:p>
        </w:tc>
      </w:tr>
      <w:tr w14:paraId="56542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04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Transformer</w:t>
            </w:r>
          </w:p>
        </w:tc>
        <w:tc>
          <w:tcPr>
            <w:tcW w:w="130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90</w:t>
            </w:r>
          </w:p>
        </w:tc>
        <w:tc>
          <w:tcPr>
            <w:tcW w:w="255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175509.94 ± 31397.14</w:t>
            </w:r>
          </w:p>
        </w:tc>
        <w:tc>
          <w:tcPr>
            <w:tcW w:w="2268"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336.56 ± 28.69</w:t>
            </w:r>
          </w:p>
        </w:tc>
        <w:tc>
          <w:tcPr>
            <w:tcW w:w="79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5</w:t>
            </w:r>
          </w:p>
        </w:tc>
      </w:tr>
      <w:tr w14:paraId="5DC62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04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PVG-iTransformer</w:t>
            </w:r>
          </w:p>
        </w:tc>
        <w:tc>
          <w:tcPr>
            <w:tcW w:w="130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90</w:t>
            </w:r>
          </w:p>
        </w:tc>
        <w:tc>
          <w:tcPr>
            <w:tcW w:w="255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115742.75 ± 5026.54</w:t>
            </w:r>
          </w:p>
        </w:tc>
        <w:tc>
          <w:tcPr>
            <w:tcW w:w="2268"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273.23 ± 5.86</w:t>
            </w:r>
          </w:p>
        </w:tc>
        <w:tc>
          <w:tcPr>
            <w:tcW w:w="79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5</w:t>
            </w:r>
          </w:p>
        </w:tc>
      </w:tr>
      <w:tr w14:paraId="246F1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04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训练集月份均值</w:t>
            </w:r>
          </w:p>
        </w:tc>
        <w:tc>
          <w:tcPr>
            <w:tcW w:w="130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90</w:t>
            </w:r>
          </w:p>
        </w:tc>
        <w:tc>
          <w:tcPr>
            <w:tcW w:w="255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102190.07</w:t>
            </w:r>
          </w:p>
        </w:tc>
        <w:tc>
          <w:tcPr>
            <w:tcW w:w="2268"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261.05</w:t>
            </w:r>
          </w:p>
        </w:tc>
        <w:tc>
          <w:tcPr>
            <w:tcW w:w="79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1</w:t>
            </w:r>
          </w:p>
        </w:tc>
      </w:tr>
      <w:tr w14:paraId="0E2DA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04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LSTM</w:t>
            </w:r>
          </w:p>
        </w:tc>
        <w:tc>
          <w:tcPr>
            <w:tcW w:w="130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365</w:t>
            </w:r>
          </w:p>
        </w:tc>
        <w:tc>
          <w:tcPr>
            <w:tcW w:w="255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161242.08 ± 5814.77</w:t>
            </w:r>
          </w:p>
        </w:tc>
        <w:tc>
          <w:tcPr>
            <w:tcW w:w="2268"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319.02 ± 10.22</w:t>
            </w:r>
          </w:p>
        </w:tc>
        <w:tc>
          <w:tcPr>
            <w:tcW w:w="79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5</w:t>
            </w:r>
          </w:p>
        </w:tc>
      </w:tr>
      <w:tr w14:paraId="5479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204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Transformer</w:t>
            </w:r>
          </w:p>
        </w:tc>
        <w:tc>
          <w:tcPr>
            <w:tcW w:w="130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365</w:t>
            </w:r>
          </w:p>
        </w:tc>
        <w:tc>
          <w:tcPr>
            <w:tcW w:w="2551"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154158.50 ± 9028.59</w:t>
            </w:r>
          </w:p>
        </w:tc>
        <w:tc>
          <w:tcPr>
            <w:tcW w:w="2268"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300.25 ± 8.19</w:t>
            </w:r>
          </w:p>
        </w:tc>
        <w:tc>
          <w:tcPr>
            <w:tcW w:w="794" w:type="dxa"/>
            <w:shd w:val="clear" w:color="auto" w:fill="FFFFFF"/>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000000"/>
              </w:rPr>
            </w:pPr>
            <w:r/>
            <w:r>
              <w:rPr>
                <w:rFonts w:ascii="Times New Roman" w:hAnsi="Times New Roman" w:eastAsia="宋体" w:cs="Times New Roman"/>
                <w:b w:val="0"/>
                <w:bCs w:val="0"/>
                <w:color w:val="000000"/>
                <w:sz w:val="17"/>
              </w:rPr>
              <w:t>5</w:t>
            </w:r>
          </w:p>
        </w:tc>
      </w:tr>
      <w:tr>
        <w:trPr>
          <w:cantSplit/>
        </w:trPr>
        <w:tc>
          <w:tcPr>
            <w:tcW w:type="dxa" w:w="2041"/>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r/>
            <w:r>
              <w:t>PVG-iTransformer</w:t>
            </w:r>
          </w:p>
        </w:tc>
        <w:tc>
          <w:tcPr>
            <w:tcW w:type="dxa" w:w="1304"/>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r/>
            <w:r>
              <w:t>365</w:t>
            </w:r>
          </w:p>
        </w:tc>
        <w:tc>
          <w:tcPr>
            <w:tcW w:type="dxa" w:w="2551"/>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r/>
            <w:r>
              <w:t>149700.87 ± 3660.12</w:t>
            </w:r>
          </w:p>
        </w:tc>
        <w:tc>
          <w:tcPr>
            <w:tcW w:type="dxa" w:w="2268"/>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r/>
            <w:r>
              <w:t>297.61 ± 2.93</w:t>
            </w:r>
          </w:p>
        </w:tc>
        <w:tc>
          <w:tcPr>
            <w:tcW w:type="dxa" w:w="794"/>
            <w:vAlign w:val="center"/>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r/>
            <w:r>
              <w:t>5</w:t>
            </w:r>
          </w:p>
        </w:tc>
      </w:tr>
      <w:tr>
        <w:trPr>
          <w:cantSplit/>
        </w:trPr>
        <w:tc>
          <w:tcPr>
            <w:tcW w:type="dxa" w:w="2041"/>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r/>
            <w:r>
              <w:t>训练集月份均值</w:t>
            </w:r>
          </w:p>
        </w:tc>
        <w:tc>
          <w:tcPr>
            <w:tcW w:type="dxa" w:w="1304"/>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r/>
            <w:r>
              <w:t>365</w:t>
            </w:r>
          </w:p>
        </w:tc>
        <w:tc>
          <w:tcPr>
            <w:tcW w:type="dxa" w:w="2551"/>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r/>
            <w:r>
              <w:t>153091.25</w:t>
            </w:r>
          </w:p>
        </w:tc>
        <w:tc>
          <w:tcPr>
            <w:tcW w:type="dxa" w:w="2268"/>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r/>
            <w:r>
              <w:t>301.97</w:t>
            </w:r>
          </w:p>
        </w:tc>
        <w:tc>
          <w:tcPr>
            <w:tcW w:type="dxa" w:w="794"/>
            <w:vAlign w:val="center"/>
            <w:tcBorders>
              <w:top w:val="nil" w:sz="0" w:space="0" w:color="000000"/>
              <w:left w:val="nil" w:sz="0" w:space="0" w:color="000000"/>
              <w:bottom w:val="single" w:sz="12" w:space="0" w:color="000000"/>
              <w:right w:val="nil" w:sz="0" w:space="0" w:color="000000"/>
              <w:insideH w:val="nil" w:sz="0" w:space="0" w:color="000000"/>
              <w:insideV w:val="nil" w:sz="0" w:space="0" w:color="000000"/>
            </w:tcBorders>
          </w:tcPr>
          <w:p>
            <w:r/>
            <w:r>
              <w:t>1</w:t>
            </w:r>
          </w:p>
        </w:tc>
      </w:tr>
    </w:tbl>
    <w:p w14:paraId="59D3A19A">
      <w:pPr>
        <w:keepNext w:val="0"/>
        <w:keepLines w:val="0"/>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auto"/>
        </w:rPr>
      </w:pPr>
      <w:r>
        <w:rPr>
          <w:rFonts w:hint="eastAsia" w:ascii="黑体" w:hAnsi="黑体" w:eastAsia="黑体" w:cs="黑体"/>
          <w:b w:val="0"/>
          <w:bCs w:val="0"/>
          <w:color w:val="auto"/>
          <w:sz w:val="18"/>
          <w:szCs w:val="18"/>
        </w:rPr>
        <w:t>表 6 固定测试起点结果（神经网络为 5 个随机种子的均值±样本标准差）</w:t>
      </w:r>
    </w:p>
    <w:p w14:paraId="032F50BD">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ascii="Times New Roman" w:hAnsi="Times New Roman" w:eastAsia="宋体" w:cs="Times New Roman"/>
          <w:b w:val="0"/>
          <w:bCs w:val="0"/>
          <w:color w:val="auto"/>
          <w:sz w:val="21"/>
          <w:szCs w:val="21"/>
        </w:rPr>
      </w:pPr>
      <w:r>
        <w:rPr>
          <w:rFonts w:ascii="Times New Roman" w:hAnsi="Times New Roman" w:eastAsia="宋体" w:cs="Times New Roman"/>
          <w:b w:val="0"/>
          <w:bCs w:val="0"/>
          <w:color w:val="auto"/>
          <w:sz w:val="21"/>
          <w:szCs w:val="21"/>
        </w:rPr>
        <w:t>表 6 给出了固定测试起点的结果。90 天任务中，PVG-iTransformer 的 MSE 为 115742.75、MAE 为 273.23，在三个神经网络中最低；相对 Transformer 分别降低 34.05% 和 18.82%，相对 LSTM 分别降低 37.36% 和 21.51%。但仅由 571 天训练段计算的月份均值基线取得 MSE 102190.07、MAE 261.05，仍分别比 PVG 低 13.26% 和 4.67%。因此短期结果只支持 PVG 是三个神经网络中最优，不能支持神经网络已经超过简单季节规律。</w:t>
      </w:r>
    </w:p>
    <w:p w14:paraId="785C2F08">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365 天任务中，PVG-iTransformer 的 MSE 为 149700.87、MAE 为 297.61，同样是三个神经网络中最低；相对 Transformer 分别降低 2.89% 和 0.88%，相对 LSTM 分别降低 7.16% 和 6.71%。训练集月份均值基线为 MSE 153091.25、MAE 301.97，PVG 仅小幅改善 2.21% 和 1.44%。长期任务的神经网络优势较弱，且该结论只对应一个固定测试起点。</w:t>
      </w:r>
    </w:p>
    <w:p w14:paraId="6D08DFA9">
      <w:pPr>
        <w:pStyle w:val="4"/>
        <w:keepNext/>
        <w:keepLines/>
        <w:pageBreakBefore w:val="0"/>
        <w:widowControl/>
        <w:kinsoku/>
        <w:wordWrap/>
        <w:overflowPunct/>
        <w:topLinePunct w:val="0"/>
        <w:autoSpaceDE/>
        <w:autoSpaceDN/>
        <w:bidi w:val="0"/>
        <w:adjustRightInd/>
        <w:snapToGrid/>
        <w:spacing w:before="50" w:after="50" w:line="500" w:lineRule="exact"/>
        <w:jc w:val="left"/>
        <w:textAlignment w:val="auto"/>
        <w:rPr>
          <w:rFonts w:ascii="Times New Roman" w:hAnsi="Times New Roman" w:eastAsia="宋体" w:cs="Times New Roman"/>
          <w:b w:val="0"/>
          <w:bCs w:val="0"/>
          <w:color w:val="auto"/>
          <w:sz w:val="24"/>
          <w:szCs w:val="24"/>
        </w:rPr>
      </w:pPr>
      <w:r>
        <w:rPr>
          <w:rFonts w:ascii="Times New Roman" w:hAnsi="Times New Roman" w:eastAsia="宋体" w:cs="Times New Roman"/>
          <w:b w:val="0"/>
          <w:bCs w:val="0"/>
          <w:color w:val="auto"/>
          <w:sz w:val="24"/>
          <w:szCs w:val="24"/>
        </w:rPr>
        <w:t>3.1 预测曲线对比</w:t>
      </w:r>
    </w:p>
    <w:p w14:paraId="17353770">
      <w:pPr>
        <w:keepNext w:val="0"/>
        <w:keepLines w:val="0"/>
        <w:pageBreakBefore w:val="0"/>
        <w:widowControl/>
        <w:kinsoku/>
        <w:wordWrap/>
        <w:overflowPunct/>
        <w:topLinePunct w:val="0"/>
        <w:autoSpaceDE/>
        <w:autoSpaceDN/>
        <w:bidi w:val="0"/>
        <w:adjustRightInd/>
        <w:snapToGrid/>
        <w:spacing w:before="50" w:after="50" w:line="300" w:lineRule="exact"/>
        <w:ind w:firstLine="42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szCs w:val="21"/>
        </w:rPr>
        <w:t>图 1 至图 6 展示 seed=42 在固定留出测试边界上的一次性预测曲线。所有曲线均从 2009-07-10 起预测，90 天任务评分至 2009-10-07，365 天任务评分至 2010-07-09；后续测试观测不会反馈为模型输入。曲线只用于说明该代表性随机种子在单一时间起点上的行为，表 6 才是 5 个随机种子的汇总。</w:t>
      </w:r>
    </w:p>
    <w:p w14:paraId="6F89013F">
      <w:pPr>
        <w:keepNext/>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bCs w:val="0"/>
          <w:color w:val="auto"/>
        </w:rPr>
      </w:pPr>
      <w:r>
        <w:drawing>
          <wp:inline xmlns:a="http://schemas.openxmlformats.org/drawingml/2006/main" xmlns:pic="http://schemas.openxmlformats.org/drawingml/2006/picture">
            <wp:extent cx="5486400" cy="2633472"/>
            <wp:docPr id="8" name="Picture 8" descr="LSTM 在 2009-07-10 固定起点的 90 天预测与真实值曲线" title="LSTM 在 2009-07-10 固定起点的 90 天预测与真实值曲线"/>
            <wp:cNvGraphicFramePr>
              <a:graphicFrameLocks noChangeAspect="1"/>
            </wp:cNvGraphicFramePr>
            <a:graphic>
              <a:graphicData uri="http://schemas.openxmlformats.org/drawingml/2006/picture">
                <pic:pic>
                  <pic:nvPicPr>
                    <pic:cNvPr id="0" name="lstm_h90_fixed_holdout_prediction.png"/>
                    <pic:cNvPicPr/>
                  </pic:nvPicPr>
                  <pic:blipFill>
                    <a:blip r:embed="rId15"/>
                    <a:stretch>
                      <a:fillRect/>
                    </a:stretch>
                  </pic:blipFill>
                  <pic:spPr>
                    <a:xfrm>
                      <a:off x="0" y="0"/>
                      <a:ext cx="5486400" cy="2633472"/>
                    </a:xfrm>
                    <a:prstGeom prst="rect"/>
                  </pic:spPr>
                </pic:pic>
              </a:graphicData>
            </a:graphic>
          </wp:inline>
        </w:drawing>
      </w:r>
    </w:p>
    <w:p w14:paraId="0E672EE8">
      <w:pPr>
        <w:keepNext w:val="0"/>
        <w:keepLines/>
        <w:pageBreakBefore w:val="0"/>
        <w:widowControl/>
        <w:kinsoku/>
        <w:wordWrap/>
        <w:overflowPunct/>
        <w:topLinePunct w:val="0"/>
        <w:autoSpaceDE/>
        <w:autoSpaceDN/>
        <w:bidi w:val="0"/>
        <w:adjustRightInd/>
        <w:snapToGrid/>
        <w:spacing w:after="0" w:line="300" w:lineRule="exact"/>
        <w:jc w:val="center"/>
        <w:textAlignment w:val="auto"/>
        <w:rPr>
          <w:rFonts w:hint="eastAsia" w:ascii="黑体" w:hAnsi="黑体" w:eastAsia="黑体" w:cs="黑体"/>
          <w:b w:val="0"/>
          <w:bCs w:val="0"/>
          <w:color w:val="auto"/>
          <w:sz w:val="18"/>
          <w:szCs w:val="18"/>
        </w:rPr>
      </w:pPr>
      <w:r>
        <w:rPr>
          <w:rFonts w:hint="eastAsia" w:ascii="黑体" w:hAnsi="黑体" w:eastAsia="黑体" w:cs="黑体"/>
          <w:b w:val="0"/>
          <w:bCs w:val="0"/>
          <w:color w:val="auto"/>
          <w:sz w:val="18"/>
          <w:szCs w:val="18"/>
        </w:rPr>
        <w:t>图 1 LSTM 的 90 天固定起点预测（seed=42，起点 2009-07-10）</w:t>
      </w:r>
    </w:p>
    <w:p w14:paraId="544A7C81">
      <w:pPr>
        <w:keepNext/>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bCs w:val="0"/>
          <w:color w:val="auto"/>
        </w:rPr>
      </w:pPr>
      <w:r>
        <w:drawing>
          <wp:inline xmlns:a="http://schemas.openxmlformats.org/drawingml/2006/main" xmlns:pic="http://schemas.openxmlformats.org/drawingml/2006/picture">
            <wp:extent cx="5486400" cy="2633472"/>
            <wp:docPr id="9" name="Picture 9" descr="Transformer 在 2009-07-10 固定起点的 90 天预测与真实值曲线" title="Transformer 在 2009-07-10 固定起点的 90 天预测与真实值曲线"/>
            <wp:cNvGraphicFramePr>
              <a:graphicFrameLocks noChangeAspect="1"/>
            </wp:cNvGraphicFramePr>
            <a:graphic>
              <a:graphicData uri="http://schemas.openxmlformats.org/drawingml/2006/picture">
                <pic:pic>
                  <pic:nvPicPr>
                    <pic:cNvPr id="0" name="transformer_h90_fixed_holdout_prediction.png"/>
                    <pic:cNvPicPr/>
                  </pic:nvPicPr>
                  <pic:blipFill>
                    <a:blip r:embed="rId16"/>
                    <a:stretch>
                      <a:fillRect/>
                    </a:stretch>
                  </pic:blipFill>
                  <pic:spPr>
                    <a:xfrm>
                      <a:off x="0" y="0"/>
                      <a:ext cx="5486400" cy="2633472"/>
                    </a:xfrm>
                    <a:prstGeom prst="rect"/>
                  </pic:spPr>
                </pic:pic>
              </a:graphicData>
            </a:graphic>
          </wp:inline>
        </w:drawing>
      </w:r>
    </w:p>
    <w:p w14:paraId="4DFB126A">
      <w:pPr>
        <w:keepNext w:val="0"/>
        <w:keepLines/>
        <w:pageBreakBefore w:val="0"/>
        <w:widowControl/>
        <w:kinsoku/>
        <w:wordWrap/>
        <w:overflowPunct/>
        <w:topLinePunct w:val="0"/>
        <w:autoSpaceDE/>
        <w:autoSpaceDN/>
        <w:bidi w:val="0"/>
        <w:adjustRightInd/>
        <w:snapToGrid/>
        <w:spacing w:after="0" w:line="300" w:lineRule="exact"/>
        <w:jc w:val="center"/>
        <w:textAlignment w:val="auto"/>
        <w:rPr>
          <w:rFonts w:hint="eastAsia" w:ascii="黑体" w:hAnsi="黑体" w:eastAsia="黑体" w:cs="黑体"/>
          <w:b w:val="0"/>
          <w:bCs w:val="0"/>
          <w:color w:val="auto"/>
          <w:sz w:val="18"/>
          <w:szCs w:val="18"/>
        </w:rPr>
      </w:pPr>
      <w:r>
        <w:rPr>
          <w:rFonts w:hint="eastAsia" w:ascii="黑体" w:hAnsi="黑体" w:eastAsia="黑体" w:cs="黑体"/>
          <w:b w:val="0"/>
          <w:bCs w:val="0"/>
          <w:color w:val="auto"/>
          <w:sz w:val="18"/>
          <w:szCs w:val="18"/>
        </w:rPr>
        <w:t>图 2 Transformer 的 90 天固定起点预测（seed=42，起点 2009-07-10）</w:t>
      </w:r>
    </w:p>
    <w:p w14:paraId="1DE8FA3C">
      <w:pPr>
        <w:keepNext/>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bCs w:val="0"/>
          <w:color w:val="auto"/>
        </w:rPr>
      </w:pPr>
      <w:r>
        <w:drawing>
          <wp:inline xmlns:a="http://schemas.openxmlformats.org/drawingml/2006/main" xmlns:pic="http://schemas.openxmlformats.org/drawingml/2006/picture">
            <wp:extent cx="5486400" cy="2633472"/>
            <wp:docPr id="10" name="Picture 10" descr="PVG-iTransformer 在 2009-07-10 固定起点的 90 天预测与真实值曲线" title="PVG-iTransformer 在 2009-07-10 固定起点的 90 天预测与真实值曲线"/>
            <wp:cNvGraphicFramePr>
              <a:graphicFrameLocks noChangeAspect="1"/>
            </wp:cNvGraphicFramePr>
            <a:graphic>
              <a:graphicData uri="http://schemas.openxmlformats.org/drawingml/2006/picture">
                <pic:pic>
                  <pic:nvPicPr>
                    <pic:cNvPr id="0" name="pvg_itransformer_h90_fixed_holdout_prediction.png"/>
                    <pic:cNvPicPr/>
                  </pic:nvPicPr>
                  <pic:blipFill>
                    <a:blip r:embed="rId17"/>
                    <a:stretch>
                      <a:fillRect/>
                    </a:stretch>
                  </pic:blipFill>
                  <pic:spPr>
                    <a:xfrm>
                      <a:off x="0" y="0"/>
                      <a:ext cx="5486400" cy="2633472"/>
                    </a:xfrm>
                    <a:prstGeom prst="rect"/>
                  </pic:spPr>
                </pic:pic>
              </a:graphicData>
            </a:graphic>
          </wp:inline>
        </w:drawing>
      </w:r>
    </w:p>
    <w:p w14:paraId="2EB51E98">
      <w:pPr>
        <w:keepNext w:val="0"/>
        <w:keepLines/>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宋体" w:cs="Times New Roman"/>
          <w:b w:val="0"/>
          <w:bCs w:val="0"/>
          <w:color w:val="auto"/>
        </w:rPr>
      </w:pPr>
      <w:r>
        <w:rPr>
          <w:rFonts w:ascii="Times New Roman" w:hAnsi="Times New Roman" w:eastAsia="黑体" w:cs="Times New Roman"/>
          <w:b w:val="0"/>
          <w:bCs w:val="0"/>
          <w:color w:val="auto"/>
          <w:sz w:val="18"/>
          <w:szCs w:val="18"/>
        </w:rPr>
        <w:t>图 3 PVG-iTransformer 的 90 天固定起点预测（seed=42，起点 2009-07-10）</w:t>
      </w:r>
    </w:p>
    <w:p w14:paraId="5B902A53">
      <w:pPr>
        <w:keepNext/>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bCs w:val="0"/>
          <w:color w:val="auto"/>
        </w:rPr>
      </w:pPr>
      <w:r>
        <w:drawing>
          <wp:inline xmlns:a="http://schemas.openxmlformats.org/drawingml/2006/main" xmlns:pic="http://schemas.openxmlformats.org/drawingml/2006/picture">
            <wp:extent cx="5486400" cy="2633472"/>
            <wp:docPr id="11" name="Picture 11" descr="LSTM 在 2009-07-10 固定起点的 365 天预测与真实值曲线" title="LSTM 在 2009-07-10 固定起点的 365 天预测与真实值曲线"/>
            <wp:cNvGraphicFramePr>
              <a:graphicFrameLocks noChangeAspect="1"/>
            </wp:cNvGraphicFramePr>
            <a:graphic>
              <a:graphicData uri="http://schemas.openxmlformats.org/drawingml/2006/picture">
                <pic:pic>
                  <pic:nvPicPr>
                    <pic:cNvPr id="0" name="lstm_h365_fixed_holdout_prediction.png"/>
                    <pic:cNvPicPr/>
                  </pic:nvPicPr>
                  <pic:blipFill>
                    <a:blip r:embed="rId18"/>
                    <a:stretch>
                      <a:fillRect/>
                    </a:stretch>
                  </pic:blipFill>
                  <pic:spPr>
                    <a:xfrm>
                      <a:off x="0" y="0"/>
                      <a:ext cx="5486400" cy="2633472"/>
                    </a:xfrm>
                    <a:prstGeom prst="rect"/>
                  </pic:spPr>
                </pic:pic>
              </a:graphicData>
            </a:graphic>
          </wp:inline>
        </w:drawing>
      </w:r>
    </w:p>
    <w:p w14:paraId="2F95A876">
      <w:pPr>
        <w:keepNext w:val="0"/>
        <w:keepLines/>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黑体" w:cs="Times New Roman"/>
          <w:b w:val="0"/>
          <w:bCs w:val="0"/>
          <w:color w:val="auto"/>
          <w:sz w:val="18"/>
          <w:szCs w:val="18"/>
        </w:rPr>
      </w:pPr>
      <w:r>
        <w:rPr>
          <w:rFonts w:ascii="Times New Roman" w:hAnsi="Times New Roman" w:eastAsia="黑体" w:cs="Times New Roman"/>
          <w:b w:val="0"/>
          <w:bCs w:val="0"/>
          <w:color w:val="auto"/>
          <w:sz w:val="18"/>
          <w:szCs w:val="18"/>
        </w:rPr>
        <w:t>图 4 LSTM 的 365 天固定起点预测（seed=42，起点 2009-07-10）</w:t>
      </w:r>
    </w:p>
    <w:p w14:paraId="7D09FB2C">
      <w:pPr>
        <w:keepNext/>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bCs w:val="0"/>
          <w:color w:val="auto"/>
        </w:rPr>
      </w:pPr>
      <w:r>
        <w:drawing>
          <wp:inline xmlns:a="http://schemas.openxmlformats.org/drawingml/2006/main" xmlns:pic="http://schemas.openxmlformats.org/drawingml/2006/picture">
            <wp:extent cx="5486400" cy="2633472"/>
            <wp:docPr id="12" name="Picture 12" descr="Transformer 在 2009-07-10 固定起点的 365 天预测与真实值曲线" title="Transformer 在 2009-07-10 固定起点的 365 天预测与真实值曲线"/>
            <wp:cNvGraphicFramePr>
              <a:graphicFrameLocks noChangeAspect="1"/>
            </wp:cNvGraphicFramePr>
            <a:graphic>
              <a:graphicData uri="http://schemas.openxmlformats.org/drawingml/2006/picture">
                <pic:pic>
                  <pic:nvPicPr>
                    <pic:cNvPr id="0" name="transformer_h365_fixed_holdout_prediction.png"/>
                    <pic:cNvPicPr/>
                  </pic:nvPicPr>
                  <pic:blipFill>
                    <a:blip r:embed="rId19"/>
                    <a:stretch>
                      <a:fillRect/>
                    </a:stretch>
                  </pic:blipFill>
                  <pic:spPr>
                    <a:xfrm>
                      <a:off x="0" y="0"/>
                      <a:ext cx="5486400" cy="2633472"/>
                    </a:xfrm>
                    <a:prstGeom prst="rect"/>
                  </pic:spPr>
                </pic:pic>
              </a:graphicData>
            </a:graphic>
          </wp:inline>
        </w:drawing>
      </w:r>
    </w:p>
    <w:p w14:paraId="73435D69">
      <w:pPr>
        <w:keepNext w:val="0"/>
        <w:keepLines/>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黑体" w:cs="Times New Roman"/>
          <w:b w:val="0"/>
          <w:bCs w:val="0"/>
          <w:color w:val="auto"/>
          <w:sz w:val="18"/>
          <w:szCs w:val="18"/>
        </w:rPr>
      </w:pPr>
      <w:r>
        <w:rPr>
          <w:rFonts w:ascii="Times New Roman" w:hAnsi="Times New Roman" w:eastAsia="黑体" w:cs="Times New Roman"/>
          <w:b w:val="0"/>
          <w:bCs w:val="0"/>
          <w:color w:val="auto"/>
          <w:sz w:val="18"/>
          <w:szCs w:val="18"/>
        </w:rPr>
        <w:t>图 5 Transformer 的 365 天固定起点预测（seed=42，起点 2009-07-10）</w:t>
      </w:r>
    </w:p>
    <w:p w14:paraId="43277474">
      <w:pPr>
        <w:keepNext/>
        <w:pageBreakBefore w:val="0"/>
        <w:widowControl/>
        <w:kinsoku/>
        <w:wordWrap/>
        <w:overflowPunct/>
        <w:topLinePunct w:val="0"/>
        <w:autoSpaceDE/>
        <w:autoSpaceDN/>
        <w:bidi w:val="0"/>
        <w:adjustRightInd/>
        <w:snapToGrid/>
        <w:spacing w:after="0" w:line="240" w:lineRule="auto"/>
        <w:jc w:val="center"/>
        <w:textAlignment w:val="auto"/>
        <w:rPr>
          <w:rFonts w:ascii="Times New Roman" w:hAnsi="Times New Roman" w:eastAsia="宋体" w:cs="Times New Roman"/>
          <w:b w:val="0"/>
          <w:bCs w:val="0"/>
          <w:color w:val="auto"/>
        </w:rPr>
      </w:pPr>
      <w:r>
        <w:drawing>
          <wp:inline xmlns:a="http://schemas.openxmlformats.org/drawingml/2006/main" xmlns:pic="http://schemas.openxmlformats.org/drawingml/2006/picture">
            <wp:extent cx="5486400" cy="2633472"/>
            <wp:docPr id="13" name="Picture 13" descr="PVG-iTransformer 在 2009-07-10 固定起点的 365 天预测与真实值曲线" title="PVG-iTransformer 在 2009-07-10 固定起点的 365 天预测与真实值曲线"/>
            <wp:cNvGraphicFramePr>
              <a:graphicFrameLocks noChangeAspect="1"/>
            </wp:cNvGraphicFramePr>
            <a:graphic>
              <a:graphicData uri="http://schemas.openxmlformats.org/drawingml/2006/picture">
                <pic:pic>
                  <pic:nvPicPr>
                    <pic:cNvPr id="0" name="pvg_itransformer_h365_fixed_holdout_prediction.png"/>
                    <pic:cNvPicPr/>
                  </pic:nvPicPr>
                  <pic:blipFill>
                    <a:blip r:embed="rId20"/>
                    <a:stretch>
                      <a:fillRect/>
                    </a:stretch>
                  </pic:blipFill>
                  <pic:spPr>
                    <a:xfrm>
                      <a:off x="0" y="0"/>
                      <a:ext cx="5486400" cy="2633472"/>
                    </a:xfrm>
                    <a:prstGeom prst="rect"/>
                  </pic:spPr>
                </pic:pic>
              </a:graphicData>
            </a:graphic>
          </wp:inline>
        </w:drawing>
      </w:r>
    </w:p>
    <w:p w14:paraId="6D67ABAD">
      <w:pPr>
        <w:keepNext w:val="0"/>
        <w:keepLines/>
        <w:pageBreakBefore w:val="0"/>
        <w:widowControl/>
        <w:kinsoku/>
        <w:wordWrap/>
        <w:overflowPunct/>
        <w:topLinePunct w:val="0"/>
        <w:autoSpaceDE/>
        <w:autoSpaceDN/>
        <w:bidi w:val="0"/>
        <w:adjustRightInd/>
        <w:snapToGrid/>
        <w:spacing w:after="0" w:line="300" w:lineRule="exact"/>
        <w:jc w:val="center"/>
        <w:textAlignment w:val="auto"/>
        <w:rPr>
          <w:rFonts w:ascii="Times New Roman" w:hAnsi="Times New Roman" w:eastAsia="黑体" w:cs="Times New Roman"/>
          <w:b w:val="0"/>
          <w:bCs w:val="0"/>
          <w:color w:val="auto"/>
          <w:sz w:val="18"/>
          <w:szCs w:val="18"/>
        </w:rPr>
      </w:pPr>
      <w:r>
        <w:rPr>
          <w:rFonts w:ascii="Times New Roman" w:hAnsi="Times New Roman" w:eastAsia="黑体" w:cs="Times New Roman"/>
          <w:b w:val="0"/>
          <w:bCs w:val="0"/>
          <w:color w:val="auto"/>
          <w:sz w:val="18"/>
          <w:szCs w:val="18"/>
        </w:rPr>
        <w:t>图 6 PVG-iTransformer 的 365 天固定起点预测（seed=42，起点 2009-07-10）</w:t>
      </w:r>
    </w:p>
    <w:p w14:paraId="3B31C9DB">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从 90 天曲线看，三类模型都能反映后半段总体上升，但对日度峰谷的刻画有限。PVG-iTransformer 的预测更平滑且种子间波动最小，在三个神经网络中平均误差最低；不过它在早期低负荷区间仍明显偏高，而且仍未超过训练集月份均值基线。这说明单一曲线和神经网络内部排名都不足以证明方法具有普遍预测优势。</w:t>
      </w:r>
    </w:p>
    <w:p w14:paraId="6FF438BA">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从 365 天曲线看，三个模型主要学习年度轮廓，对极端峰值和突发低谷均有平滑化倾向。PVG-iTransformer 的总体误差最低，但相对月份均值基线的改善仅约 2.21%（MSE）和 1.44%（MAE）。结果提示双分支表示可能有帮助，但其更大模型容量、单一测试起点及目标中少量因果插补值都限制了因果归因和泛化解释。</w:t>
      </w:r>
    </w:p>
    <w:p w14:paraId="4848519D">
      <w:pPr>
        <w:pStyle w:val="3"/>
        <w:keepNext/>
        <w:keepLines/>
        <w:pageBreakBefore w:val="0"/>
        <w:widowControl/>
        <w:kinsoku/>
        <w:wordWrap/>
        <w:overflowPunct/>
        <w:topLinePunct w:val="0"/>
        <w:autoSpaceDE/>
        <w:autoSpaceDN/>
        <w:bidi w:val="0"/>
        <w:adjustRightInd/>
        <w:snapToGrid/>
        <w:spacing w:before="50" w:after="50" w:line="500" w:lineRule="exact"/>
        <w:jc w:val="left"/>
        <w:textAlignment w:val="auto"/>
        <w:rPr>
          <w:rFonts w:ascii="Times New Roman" w:hAnsi="Times New Roman" w:eastAsia="宋体" w:cs="Times New Roman"/>
          <w:b w:val="0"/>
          <w:bCs w:val="0"/>
          <w:color w:val="auto"/>
          <w:sz w:val="28"/>
        </w:rPr>
      </w:pPr>
      <w:r>
        <w:rPr>
          <w:rFonts w:ascii="Times New Roman" w:hAnsi="Times New Roman" w:eastAsia="宋体" w:cs="Times New Roman"/>
          <w:b w:val="0"/>
          <w:bCs w:val="0"/>
          <w:color w:val="auto"/>
          <w:sz w:val="28"/>
        </w:rPr>
        <w:t>4. 讨论</w:t>
      </w:r>
    </w:p>
    <w:p w14:paraId="2004B535">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ascii="Times New Roman" w:hAnsi="Times New Roman" w:eastAsia="宋体" w:cs="Times New Roman"/>
          <w:b w:val="0"/>
          <w:bCs w:val="0"/>
          <w:color w:val="auto"/>
          <w:sz w:val="21"/>
          <w:szCs w:val="21"/>
        </w:rPr>
      </w:pPr>
      <w:r>
        <w:rPr>
          <w:rFonts w:ascii="Times New Roman" w:hAnsi="Times New Roman" w:eastAsia="宋体" w:cs="Times New Roman"/>
          <w:b w:val="0"/>
          <w:bCs w:val="0"/>
          <w:color w:val="auto"/>
          <w:sz w:val="21"/>
          <w:szCs w:val="21"/>
        </w:rPr>
        <w:t>本文实现了 LSTM、Transformer 和 PVG-iTransformer，并在严格按时间划分的数据上进行固定起点直接预测。三个模型的张量维度、直接多输出、损失与反标准化实现均通过检查。修复同月天气信息泄露与 RR 单位错误后，PVG-iTransformer 在 90 天和 365 天任务中仍是三个神经网络里平均误差最低的方法；但加入训练集月份均值基线后，90 天任务由简单基线获胜，365 天任务中 PVG 也只小幅领先。因此，稳妥结论是“PVG 在本次神经网络比较中最好”，而不是“PVG 在家庭用电预测中具有普遍优势”。</w:t>
      </w:r>
    </w:p>
    <w:p w14:paraId="4597066B">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ascii="Times New Roman" w:hAnsi="Times New Roman" w:eastAsia="宋体" w:cs="Times New Roman"/>
          <w:b w:val="0"/>
          <w:bCs w:val="0"/>
          <w:color w:val="auto"/>
          <w:sz w:val="21"/>
          <w:szCs w:val="21"/>
        </w:rPr>
      </w:pPr>
      <w:r>
        <w:rPr>
          <w:rFonts w:ascii="Times New Roman" w:hAnsi="Times New Roman" w:eastAsia="宋体" w:cs="Times New Roman"/>
          <w:b w:val="0"/>
          <w:bCs w:val="0"/>
          <w:color w:val="auto"/>
          <w:sz w:val="21"/>
          <w:szCs w:val="21"/>
        </w:rPr>
        <w:t>第三部分模型的主要创新体现在三个方面。第一，时间 Patch 分支把连续 90 天历史划分为重叠周级片段，使模型能够以更接近家庭生活周期的尺度理解近期趋势和局部模式。第二，变量分支把每个变量的历史序列作为 token，使 Transformer 显式建模目标功率、电力状态、分表能耗、月度气象背景和日期周期之间的依赖。第三，门控融合不再固定地拼接两类特征，而是根据输入样本自动调节时间模式和变量关系的贡献。</w:t>
      </w:r>
    </w:p>
    <w:p w14:paraId="4C59F8E8">
      <w:pPr>
        <w:keepNext w:val="0"/>
        <w:keepLines w:val="0"/>
        <w:pageBreakBefore w:val="0"/>
        <w:widowControl/>
        <w:kinsoku/>
        <w:wordWrap/>
        <w:overflowPunct/>
        <w:topLinePunct w:val="0"/>
        <w:autoSpaceDE/>
        <w:autoSpaceDN/>
        <w:bidi w:val="0"/>
        <w:adjustRightInd/>
        <w:snapToGrid/>
        <w:spacing w:before="50" w:after="50" w:line="300" w:lineRule="exact"/>
        <w:ind w:firstLine="420" w:firstLineChars="200"/>
        <w:jc w:val="both"/>
        <w:textAlignment w:val="auto"/>
        <w:rPr>
          <w:rFonts w:ascii="Times New Roman" w:hAnsi="Times New Roman" w:eastAsia="宋体" w:cs="Times New Roman"/>
          <w:b w:val="0"/>
          <w:bCs w:val="0"/>
          <w:color w:val="auto"/>
          <w:sz w:val="21"/>
          <w:szCs w:val="21"/>
        </w:rPr>
      </w:pPr>
      <w:r>
        <w:rPr>
          <w:rFonts w:ascii="Times New Roman" w:hAnsi="Times New Roman" w:eastAsia="宋体" w:cs="Times New Roman"/>
          <w:b w:val="0"/>
          <w:bCs w:val="0"/>
          <w:color w:val="auto"/>
          <w:sz w:val="21"/>
          <w:szCs w:val="21"/>
        </w:rPr>
        <w:t>本实验仍存在若干限制。第一，每个 horizon 只有 1 个验证起点和 1 个测试起点，5 个随机种子的标准差只表示优化随机性，不能代表跨季节不确定性；H=90 的验证段后 275 天也未参与 checkpoint 选择。第二，月度天气滞后一个月虽消除了同月未来信息，但仍假设上月统计在月初已经可得，且无法表达每日天气。第三，测试标签包含少量由过去观测因果填补的分钟：H=90 为 898 分钟、涉及 4 天，H=365 为 6066 分钟、涉及 20 天；这不是未来泄露，但会影响评价语义。第四，PVG 参数量明显大于另外两个模型，尚缺少参数量匹配、weekly seasonal naive、Ridge 或树模型等对照。第五，本项目在开发中已经查看过该固定测试结果，后续若继续调参，应另设最终盲测区间。</w:t>
      </w:r>
    </w:p>
    <w:p w14:paraId="046322A4">
      <w:pPr>
        <w:pStyle w:val="3"/>
        <w:keepNext/>
        <w:keepLines/>
        <w:pageBreakBefore w:val="0"/>
        <w:widowControl/>
        <w:kinsoku/>
        <w:wordWrap/>
        <w:overflowPunct/>
        <w:topLinePunct w:val="0"/>
        <w:autoSpaceDE/>
        <w:autoSpaceDN/>
        <w:bidi w:val="0"/>
        <w:adjustRightInd/>
        <w:snapToGrid/>
        <w:spacing w:before="50" w:after="50" w:line="500" w:lineRule="exact"/>
        <w:jc w:val="left"/>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32"/>
        </w:rPr>
        <w:t>代码与撰写说明</w:t>
      </w:r>
    </w:p>
    <w:p w14:paraId="1D13CF70">
      <w:pPr>
        <w:keepNext w:val="0"/>
        <w:keepLines w:val="0"/>
        <w:pageBreakBefore w:val="0"/>
        <w:widowControl/>
        <w:kinsoku/>
        <w:wordWrap/>
        <w:overflowPunct/>
        <w:topLinePunct w:val="0"/>
        <w:autoSpaceDE/>
        <w:autoSpaceDN/>
        <w:bidi w:val="0"/>
        <w:adjustRightInd/>
        <w:snapToGrid/>
        <w:spacing w:before="50" w:after="50" w:line="300" w:lineRule="exact"/>
        <w:jc w:val="left"/>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21"/>
        </w:rPr>
        <w:t>代码仓库链接：</w:t>
      </w:r>
      <w:hyperlink r:id="rId21">
        <w:r>
          <w:rPr>
            <w:color w:val="0000FF"/>
            <w:u w:val="single"/>
          </w:rPr>
          <w:t>nianaaa/Machine-Learning-Course-Project（GitHub）</w:t>
        </w:r>
      </w:hyperlink>
      <w:r>
        <w:rPr>
          <w:rFonts w:ascii="Times New Roman" w:hAnsi="Times New Roman" w:eastAsia="宋体" w:cs="Times New Roman"/>
          <w:b w:val="0"/>
          <w:bCs w:val="0"/>
          <w:color w:val="auto"/>
          <w:sz w:val="21"/>
        </w:rPr>
        <w:t>。</w:t>
        <w:br/>
        <w:t>正式脚本 SHA256：262f0405845635d3468e66c279066944019588900e257acdc356d6c7680c4fd1</w:t>
        <w:br/>
        <w:t>实验签名：8e78be2f38d9acfe19d9b02677fb4fe355bb1f6bc1175c82a10ec379655e7971</w:t>
        <w:br/>
        <w:t>仓库中的 README、结果 CSV、运行元数据、数据切分清单和天气月份映射可用于复核本报告。</w:t>
      </w:r>
    </w:p>
    <w:bookmarkEnd w:id="0"/>
    <w:p w14:paraId="067BD11A">
      <w:pPr>
        <w:pStyle w:val="3"/>
        <w:keepNext/>
        <w:keepLines/>
        <w:pageBreakBefore w:val="0"/>
        <w:widowControl/>
        <w:kinsoku/>
        <w:wordWrap/>
        <w:overflowPunct/>
        <w:topLinePunct w:val="0"/>
        <w:autoSpaceDE/>
        <w:autoSpaceDN/>
        <w:bidi w:val="0"/>
        <w:adjustRightInd/>
        <w:snapToGrid/>
        <w:spacing w:before="50" w:after="50" w:line="500" w:lineRule="exact"/>
        <w:jc w:val="left"/>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32"/>
        </w:rPr>
        <w:t>参考文献</w:t>
      </w:r>
    </w:p>
    <w:p w14:paraId="61C3B198">
      <w:pPr>
        <w:pageBreakBefore w:val="0"/>
        <w:widowControl/>
        <w:kinsoku/>
        <w:wordWrap/>
        <w:overflowPunct/>
        <w:topLinePunct w:val="0"/>
        <w:autoSpaceDE/>
        <w:autoSpaceDN/>
        <w:bidi w:val="0"/>
        <w:adjustRightInd/>
        <w:snapToGrid/>
        <w:spacing w:after="0" w:line="300" w:lineRule="exact"/>
        <w:ind w:left="420" w:hanging="420"/>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19"/>
        </w:rPr>
        <w:t>[1] Dua D, Graff C. UCI Machine Learning Repository: Individual Household Electric Power Consumption Data Set. University of California, Irvine.</w:t>
      </w:r>
    </w:p>
    <w:p w14:paraId="15ECBD71">
      <w:pPr>
        <w:pageBreakBefore w:val="0"/>
        <w:widowControl/>
        <w:kinsoku/>
        <w:wordWrap/>
        <w:overflowPunct/>
        <w:topLinePunct w:val="0"/>
        <w:autoSpaceDE/>
        <w:autoSpaceDN/>
        <w:bidi w:val="0"/>
        <w:adjustRightInd/>
        <w:snapToGrid/>
        <w:spacing w:after="0" w:line="300" w:lineRule="exact"/>
        <w:ind w:left="420" w:hanging="420"/>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19"/>
        </w:rPr>
        <w:t>[2] Météo-France. Données climatologiques de base - mensuelles; Documentation du fichier des postes, paramètres RR/NBJRR, https://donneespubliques.meteofrance.fr/client/document/doc_mess_climat_92.pdf.</w:t>
      </w:r>
    </w:p>
    <w:p w14:paraId="4868043C">
      <w:pPr>
        <w:pageBreakBefore w:val="0"/>
        <w:widowControl/>
        <w:kinsoku/>
        <w:wordWrap/>
        <w:overflowPunct/>
        <w:topLinePunct w:val="0"/>
        <w:autoSpaceDE/>
        <w:autoSpaceDN/>
        <w:bidi w:val="0"/>
        <w:adjustRightInd/>
        <w:snapToGrid/>
        <w:spacing w:after="0" w:line="300" w:lineRule="exact"/>
        <w:ind w:left="420" w:hanging="420"/>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19"/>
        </w:rPr>
        <w:t>[3] Hochreiter S, Schmidhuber J. Long short-term memory. Neural Computation, 1997.</w:t>
      </w:r>
    </w:p>
    <w:p w14:paraId="06887837">
      <w:pPr>
        <w:pageBreakBefore w:val="0"/>
        <w:widowControl/>
        <w:kinsoku/>
        <w:wordWrap/>
        <w:overflowPunct/>
        <w:topLinePunct w:val="0"/>
        <w:autoSpaceDE/>
        <w:autoSpaceDN/>
        <w:bidi w:val="0"/>
        <w:adjustRightInd/>
        <w:snapToGrid/>
        <w:spacing w:after="0" w:line="300" w:lineRule="exact"/>
        <w:ind w:left="420" w:hanging="420"/>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19"/>
        </w:rPr>
        <w:t>[4] Vaswani A, Shazeer N, Parmar N, et al. Attention is All You Need. NeurIPS, 2017.</w:t>
      </w:r>
    </w:p>
    <w:p w14:paraId="33471DC1">
      <w:pPr>
        <w:pageBreakBefore w:val="0"/>
        <w:widowControl/>
        <w:kinsoku/>
        <w:wordWrap/>
        <w:overflowPunct/>
        <w:topLinePunct w:val="0"/>
        <w:autoSpaceDE/>
        <w:autoSpaceDN/>
        <w:bidi w:val="0"/>
        <w:adjustRightInd/>
        <w:snapToGrid/>
        <w:spacing w:after="0" w:line="300" w:lineRule="exact"/>
        <w:ind w:left="420" w:hanging="420"/>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19"/>
        </w:rPr>
        <w:t>[5] Nie Y, Nguyen N H, Sinthong P, Kalagnanam J. A Time Series is Worth 64 Words: Long-term Forecasting with Transformers. ICLR, 2023.</w:t>
      </w:r>
    </w:p>
    <w:p w14:paraId="30212018">
      <w:pPr>
        <w:pageBreakBefore w:val="0"/>
        <w:widowControl/>
        <w:kinsoku/>
        <w:wordWrap/>
        <w:overflowPunct/>
        <w:topLinePunct w:val="0"/>
        <w:autoSpaceDE/>
        <w:autoSpaceDN/>
        <w:bidi w:val="0"/>
        <w:adjustRightInd/>
        <w:snapToGrid/>
        <w:spacing w:after="0" w:line="300" w:lineRule="exact"/>
        <w:ind w:left="420" w:hanging="420"/>
        <w:textAlignment w:val="auto"/>
        <w:rPr>
          <w:rFonts w:ascii="Times New Roman" w:hAnsi="Times New Roman" w:eastAsia="宋体" w:cs="Times New Roman"/>
          <w:b w:val="0"/>
          <w:bCs w:val="0"/>
          <w:color w:val="auto"/>
        </w:rPr>
      </w:pPr>
      <w:r>
        <w:rPr>
          <w:rFonts w:ascii="Times New Roman" w:hAnsi="Times New Roman" w:eastAsia="宋体" w:cs="Times New Roman"/>
          <w:b w:val="0"/>
          <w:bCs w:val="0"/>
          <w:color w:val="auto"/>
          <w:sz w:val="19"/>
        </w:rPr>
        <w:t>[6] Liu Y, Hu T, Zhang H, et al. iTransformer: Inverted Transformers Are Effective for Time Series Forecasting. ICLR, 2024.</w:t>
      </w:r>
    </w:p>
    <w:sectPr>
      <w:pgSz w:w="11906" w:h="16838"/>
      <w:pgMar w:top="1247" w:right="1304"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pkg="http://schemas.microsoft.com/office/2006/xmlPackage"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宋体;SimSun">
    <w:altName w:val="宋体"/>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pkg="http://schemas.microsoft.com/office/2006/xmlPackage"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pkg="http://schemas.microsoft.com/office/2006/xmlPackage" mc:Ignorable="w14">
  <w:zoom w:percent="15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D4123E"/>
    <w:rsid w:val="25DE54B8"/>
    <w:rsid w:val="2DA251E8"/>
    <w:rsid w:val="3AD0658F"/>
    <w:rsid w:val="3D9F17DB"/>
    <w:rsid w:val="3F835D9A"/>
    <w:rsid w:val="437C5721"/>
    <w:rsid w:val="592A155E"/>
    <w:rsid w:val="59452777"/>
    <w:rsid w:val="685272C6"/>
    <w:rsid w:val="6E296D1B"/>
    <w:rsid w:val="750329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xmlns:pkg="http://schemas.microsoft.com/office/2006/xmlPackage"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yperlink" Target="https://github.com/nianaaa/Machine-Learning-Course-Project" TargetMode="External"/></Relationships>
</file>

<file path=word/theme/theme1.xml><?xml version="1.0" encoding="utf-8"?>
<a:theme xmlns:a="http://schemas.openxmlformats.org/drawingml/2006/main" xmlns:pkg="http://schemas.microsoft.com/office/2006/xmlPackage"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xmlns:pkg="http://schemas.microsoft.com/office/2006/xmlPackage" SelectedStyle="/APA.XSL" StyleName="APA"/>
</file>

<file path=customXml/itemProps1.xml><?xml version="1.0" encoding="utf-8"?>
<ds:datastoreItem xmlns:ds="http://schemas.openxmlformats.org/officeDocument/2006/customXml" xmlns:pkg="http://schemas.microsoft.com/office/2006/xmlPackage" ds:itemID="{EF278816-EC6F-A645-907D-7F25AECB1D4A}">
  <ds:schemaRefs/>
</ds:datastoreItem>
</file>

<file path=docProps/app.xml><?xml version="1.0" encoding="utf-8"?>
<Properties xmlns="http://schemas.openxmlformats.org/officeDocument/2006/extended-properties" xmlns:vt="http://schemas.openxmlformats.org/officeDocument/2006/docPropsVTypes" xmlns:pkg="http://schemas.microsoft.com/office/2006/xmlPackage">
  <Template>Normal.dotm</Template>
  <Pages>8</Pages>
  <Words>1499</Words>
  <Characters>2236</Characters>
  <Lines>0</Lines>
  <Paragraphs>0</Paragraphs>
  <TotalTime>280</TotalTime>
  <ScaleCrop>false</ScaleCrop>
  <LinksUpToDate>false</LinksUpToDate>
  <CharactersWithSpaces>2367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xmlns:pkg="http://schemas.microsoft.com/office/2006/xmlPackage">
  <dcterms:created xsi:type="dcterms:W3CDTF">2013-12-23T23:15:00Z</dcterms:created>
  <dc:creator>python-docx</dc:creator>
  <dc:description>generated by python-docx</dc:description>
  <cp:lastModifiedBy>残影彡</cp:lastModifiedBy>
  <dcterms:modified xsi:type="dcterms:W3CDTF">2026-07-10T16:31:50Z</dcterms:modified>
  <cp:revision>1</cp:revision>
</cp:coreProperties>
</file>

<file path=docProps/custom.xml><?xml version="1.0" encoding="utf-8"?>
<Properties xmlns="http://schemas.openxmlformats.org/officeDocument/2006/custom-properties" xmlns:vt="http://schemas.openxmlformats.org/officeDocument/2006/docPropsVTypes" xmlns:pkg="http://schemas.microsoft.com/office/2006/xmlPackage">
  <property fmtid="{D5CDD505-2E9C-101B-9397-08002B2CF9AE}" pid="2" name="KSOTemplateDocerSaveRecord">
    <vt:lpwstr>eyJoZGlkIjoiNDcxOTk0Mjk4N2I5OTVjNDRjOTBhODczMmI4ZDQ3YTYiLCJ1c2VySWQiOiI3MjY4NjI1MTMifQ==</vt:lpwstr>
  </property>
  <property fmtid="{D5CDD505-2E9C-101B-9397-08002B2CF9AE}" pid="3" name="KSOProductBuildVer">
    <vt:lpwstr>2052-12.1.0.26895</vt:lpwstr>
  </property>
  <property fmtid="{D5CDD505-2E9C-101B-9397-08002B2CF9AE}" pid="4" name="ICV">
    <vt:lpwstr>FE962975A716401AA14F3C4623BF73F7_13</vt:lpwstr>
  </property>
</Properties>
</file>