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53FC1A" w14:textId="77777777" w:rsidR="00D618E2" w:rsidRDefault="00000000">
      <w:pPr>
        <w:pStyle w:val="Titre1"/>
        <w:spacing w:before="240" w:after="160"/>
      </w:pPr>
      <w:r>
        <w:rPr>
          <w:b/>
          <w:bCs/>
          <w:i/>
          <w:iCs/>
          <w:color w:val="E8571E"/>
          <w:sz w:val="36"/>
          <w:szCs w:val="36"/>
        </w:rPr>
        <w:t>Application – Cas DURANCEL</w:t>
      </w:r>
    </w:p>
    <w:p w14:paraId="2053FC1B" w14:textId="77777777" w:rsidR="00D618E2" w:rsidRDefault="00000000">
      <w:pPr>
        <w:spacing w:after="200"/>
      </w:pPr>
      <w:r>
        <w:rPr>
          <w:i/>
          <w:iCs/>
          <w:color w:val="808080"/>
        </w:rPr>
        <w:t>Choix d’investissement : flux de trésorerie, VAN, TRI, IP, DRCI</w:t>
      </w:r>
    </w:p>
    <w:p w14:paraId="2053FC1C" w14:textId="77777777" w:rsidR="00D618E2" w:rsidRDefault="00000000">
      <w:pPr>
        <w:pStyle w:val="Titre2"/>
        <w:keepNext/>
        <w:pBdr>
          <w:bottom w:val="single" w:sz="6" w:space="2" w:color="E8571E"/>
        </w:pBdr>
        <w:spacing w:before="280" w:after="120"/>
      </w:pPr>
      <w:r>
        <w:rPr>
          <w:b/>
          <w:bCs/>
          <w:color w:val="E8571E"/>
        </w:rPr>
        <w:t>Contexte</w:t>
      </w:r>
    </w:p>
    <w:p w14:paraId="2053FC1D" w14:textId="77777777" w:rsidR="00D618E2" w:rsidRDefault="00000000">
      <w:pPr>
        <w:spacing w:after="120"/>
      </w:pPr>
      <w:r>
        <w:t>L'entreprise DURANCEL fabrique des éléments préfabriqués en béton pour le bâtiment et les travaux publics. Pour répondre à la demande croissante en prédalles, elle étudie la création d'une nouvelle ligne de production, installée dans un bâtiment neuf. L'horizon d'étude retenu est de 5 ans (N+1 à N+5).</w:t>
      </w:r>
    </w:p>
    <w:p w14:paraId="2053FC1E" w14:textId="77777777" w:rsidR="00D618E2" w:rsidRDefault="00000000">
      <w:pPr>
        <w:pStyle w:val="Titre2"/>
        <w:keepNext/>
        <w:pBdr>
          <w:bottom w:val="single" w:sz="6" w:space="2" w:color="E8571E"/>
        </w:pBdr>
        <w:spacing w:before="280" w:after="120"/>
      </w:pPr>
      <w:r>
        <w:rPr>
          <w:b/>
          <w:bCs/>
          <w:color w:val="E8571E"/>
        </w:rPr>
        <w:t>Investissements et opérations de lancement</w:t>
      </w:r>
    </w:p>
    <w:p w14:paraId="2053FC1F" w14:textId="77777777" w:rsidR="00D618E2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 xml:space="preserve">Bâtiment : </w:t>
      </w:r>
      <w:r>
        <w:t>900 k€, décaissé en N, amortissable en linéaire sur 15 ans.</w:t>
      </w:r>
    </w:p>
    <w:p w14:paraId="2053FC20" w14:textId="77777777" w:rsidR="00D618E2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 xml:space="preserve">Ligne de production : </w:t>
      </w:r>
      <w:r>
        <w:t>2 500 k€, décaissée en N, amortissable en linéaire sur 5 ans.</w:t>
      </w:r>
    </w:p>
    <w:p w14:paraId="2053FC21" w14:textId="77777777" w:rsidR="00D618E2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 xml:space="preserve">Robot de manutention : </w:t>
      </w:r>
      <w:r>
        <w:t>600 k€, acquis et décaissé fin N+2, amortissable en linéaire sur 3 ans à compter de N+3.</w:t>
      </w:r>
    </w:p>
    <w:p w14:paraId="2053FC22" w14:textId="77777777" w:rsidR="00D618E2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 xml:space="preserve">Frais de démarrage (formation, essais) : </w:t>
      </w:r>
      <w:r>
        <w:t>80 k€ engagés en N, comptabilisés en charges et fiscalement déductibles.</w:t>
      </w:r>
    </w:p>
    <w:p w14:paraId="2053FC23" w14:textId="77777777" w:rsidR="00D618E2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 xml:space="preserve">Ancien matériel : </w:t>
      </w:r>
      <w:r>
        <w:t>remplacé par la nouvelle ligne, il est cédé en N pour 120 k€. Sa valeur nette comptable est de 40 k€.</w:t>
      </w:r>
    </w:p>
    <w:p w14:paraId="2053FC24" w14:textId="77777777" w:rsidR="00D618E2" w:rsidRDefault="00000000">
      <w:pPr>
        <w:spacing w:before="60" w:after="120"/>
      </w:pPr>
      <w:r>
        <w:rPr>
          <w:i/>
          <w:iCs/>
        </w:rPr>
        <w:t>L’entreprise est globalement bénéficiaire : toute charge ou moins-value supplémentaire génère une économie d’impôt l’année même.</w:t>
      </w:r>
    </w:p>
    <w:p w14:paraId="2053FC25" w14:textId="77777777" w:rsidR="00D618E2" w:rsidRDefault="00000000">
      <w:pPr>
        <w:pStyle w:val="Titre2"/>
        <w:keepNext/>
        <w:pBdr>
          <w:bottom w:val="single" w:sz="6" w:space="2" w:color="E8571E"/>
        </w:pBdr>
        <w:spacing w:before="280" w:after="120"/>
      </w:pPr>
      <w:r>
        <w:rPr>
          <w:b/>
          <w:bCs/>
          <w:color w:val="E8571E"/>
        </w:rPr>
        <w:t>Exploitation prévisionnelle</w:t>
      </w:r>
    </w:p>
    <w:p w14:paraId="2053FC26" w14:textId="77777777" w:rsidR="00D618E2" w:rsidRDefault="00000000">
      <w:pPr>
        <w:spacing w:after="120"/>
      </w:pPr>
      <w:r>
        <w:t>Chiffre d'affaires HT généré par la nouvelle ligne 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38"/>
        <w:gridCol w:w="1480"/>
        <w:gridCol w:w="1480"/>
        <w:gridCol w:w="1480"/>
        <w:gridCol w:w="1480"/>
        <w:gridCol w:w="1480"/>
      </w:tblGrid>
      <w:tr w:rsidR="00D618E2" w14:paraId="2053FC2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27" w14:textId="77777777" w:rsidR="00D618E2" w:rsidRDefault="00D618E2"/>
        </w:tc>
        <w:tc>
          <w:tcPr>
            <w:tcW w:w="1480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28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N+1</w:t>
            </w:r>
          </w:p>
        </w:tc>
        <w:tc>
          <w:tcPr>
            <w:tcW w:w="1480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29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N+2</w:t>
            </w:r>
          </w:p>
        </w:tc>
        <w:tc>
          <w:tcPr>
            <w:tcW w:w="1480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2A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N+3</w:t>
            </w:r>
          </w:p>
        </w:tc>
        <w:tc>
          <w:tcPr>
            <w:tcW w:w="1480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2B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N+4</w:t>
            </w:r>
          </w:p>
        </w:tc>
        <w:tc>
          <w:tcPr>
            <w:tcW w:w="1480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2C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N+5</w:t>
            </w:r>
          </w:p>
        </w:tc>
      </w:tr>
      <w:tr w:rsidR="00D618E2" w14:paraId="2053FC34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2E" w14:textId="77777777" w:rsidR="00D618E2" w:rsidRDefault="00000000">
            <w:r>
              <w:rPr>
                <w:b/>
                <w:bCs/>
                <w:sz w:val="20"/>
                <w:szCs w:val="20"/>
              </w:rPr>
              <w:t>Chiffre d'affaires</w:t>
            </w:r>
          </w:p>
        </w:tc>
        <w:tc>
          <w:tcPr>
            <w:tcW w:w="1480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2F" w14:textId="77777777" w:rsidR="00D618E2" w:rsidRDefault="00000000">
            <w:pPr>
              <w:jc w:val="center"/>
            </w:pPr>
            <w:r>
              <w:rPr>
                <w:sz w:val="20"/>
                <w:szCs w:val="20"/>
              </w:rPr>
              <w:t>1 800 k€</w:t>
            </w:r>
          </w:p>
        </w:tc>
        <w:tc>
          <w:tcPr>
            <w:tcW w:w="1480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30" w14:textId="77777777" w:rsidR="00D618E2" w:rsidRDefault="00000000">
            <w:pPr>
              <w:jc w:val="center"/>
            </w:pPr>
            <w:r>
              <w:rPr>
                <w:sz w:val="20"/>
                <w:szCs w:val="20"/>
              </w:rPr>
              <w:t>2 600 k€</w:t>
            </w:r>
          </w:p>
        </w:tc>
        <w:tc>
          <w:tcPr>
            <w:tcW w:w="1480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31" w14:textId="77777777" w:rsidR="00D618E2" w:rsidRDefault="00000000">
            <w:pPr>
              <w:jc w:val="center"/>
            </w:pPr>
            <w:r>
              <w:rPr>
                <w:sz w:val="20"/>
                <w:szCs w:val="20"/>
              </w:rPr>
              <w:t>3 400 k€</w:t>
            </w:r>
          </w:p>
        </w:tc>
        <w:tc>
          <w:tcPr>
            <w:tcW w:w="1480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32" w14:textId="77777777" w:rsidR="00D618E2" w:rsidRDefault="00000000">
            <w:pPr>
              <w:jc w:val="center"/>
            </w:pPr>
            <w:r>
              <w:rPr>
                <w:sz w:val="20"/>
                <w:szCs w:val="20"/>
              </w:rPr>
              <w:t>3 640 k€</w:t>
            </w:r>
          </w:p>
        </w:tc>
        <w:tc>
          <w:tcPr>
            <w:tcW w:w="1480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33" w14:textId="77777777" w:rsidR="00D618E2" w:rsidRDefault="00000000">
            <w:pPr>
              <w:jc w:val="center"/>
            </w:pPr>
            <w:r>
              <w:rPr>
                <w:sz w:val="20"/>
                <w:szCs w:val="20"/>
              </w:rPr>
              <w:t>3 000 k€</w:t>
            </w:r>
          </w:p>
        </w:tc>
      </w:tr>
    </w:tbl>
    <w:p w14:paraId="2053FC35" w14:textId="77777777" w:rsidR="00D618E2" w:rsidRDefault="00D618E2">
      <w:pPr>
        <w:spacing w:after="120"/>
      </w:pPr>
    </w:p>
    <w:p w14:paraId="2053FC36" w14:textId="77777777" w:rsidR="00D618E2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 xml:space="preserve">Charges variables : </w:t>
      </w:r>
      <w:r>
        <w:t>50 % du CA en N+1 et N+2, puis 45 % du CA à partir de N+3 grâce au robot.</w:t>
      </w:r>
    </w:p>
    <w:p w14:paraId="2053FC37" w14:textId="77777777" w:rsidR="00D618E2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 xml:space="preserve">Charges fixes spécifiques : </w:t>
      </w:r>
      <w:r>
        <w:t>150 k€/an, portées à 200 k€/an à partir de N+3 (maintenance du robot).</w:t>
      </w:r>
    </w:p>
    <w:p w14:paraId="2053FC38" w14:textId="77777777" w:rsidR="00D618E2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 xml:space="preserve">Effet de cannibalisation : </w:t>
      </w:r>
      <w:r>
        <w:t>la nouvelle ligne réduit les ventes de produits existants, entraînant une perte de marge de 50 k€/an de N+1 à N+5.</w:t>
      </w:r>
    </w:p>
    <w:p w14:paraId="2053FC39" w14:textId="77777777" w:rsidR="00D618E2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 xml:space="preserve">BFR : </w:t>
      </w:r>
      <w:r>
        <w:t>45 jours de CA HT (année de 360 jours). Il est constitué en début d'année, soit dans l'année précédente, et intégralement récupéré fin N+5.</w:t>
      </w:r>
    </w:p>
    <w:p w14:paraId="2053FC3A" w14:textId="77777777" w:rsidR="00D618E2" w:rsidRDefault="00000000">
      <w:pPr>
        <w:pStyle w:val="Titre2"/>
        <w:keepNext/>
        <w:pBdr>
          <w:bottom w:val="single" w:sz="6" w:space="2" w:color="E8571E"/>
        </w:pBdr>
        <w:spacing w:before="280" w:after="120"/>
      </w:pPr>
      <w:r>
        <w:rPr>
          <w:b/>
          <w:bCs/>
          <w:color w:val="E8571E"/>
        </w:rPr>
        <w:t>Fin de projet (fin N+5)</w:t>
      </w:r>
    </w:p>
    <w:p w14:paraId="2053FC3B" w14:textId="77777777" w:rsidR="00D618E2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 xml:space="preserve">Ligne de production : </w:t>
      </w:r>
      <w:r>
        <w:t>revendue 300 k€.</w:t>
      </w:r>
    </w:p>
    <w:p w14:paraId="2053FC3C" w14:textId="77777777" w:rsidR="00D618E2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 xml:space="preserve">Bâtiment : </w:t>
      </w:r>
      <w:r>
        <w:t>cédé à sa valeur de marché estimée à 500 k€.</w:t>
      </w:r>
    </w:p>
    <w:p w14:paraId="2053FC3D" w14:textId="77777777" w:rsidR="00D618E2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 xml:space="preserve">Robot : </w:t>
      </w:r>
      <w:r>
        <w:t>aucune valeur de revente.</w:t>
      </w:r>
    </w:p>
    <w:p w14:paraId="2053FC3E" w14:textId="77777777" w:rsidR="00D618E2" w:rsidRDefault="00000000">
      <w:pPr>
        <w:pStyle w:val="Paragraphedeliste"/>
        <w:numPr>
          <w:ilvl w:val="0"/>
          <w:numId w:val="2"/>
        </w:numPr>
        <w:spacing w:after="60"/>
      </w:pPr>
      <w:r>
        <w:t>Les plus-values et moins-values de cession sont soumises à l’impôt au taux normal.</w:t>
      </w:r>
    </w:p>
    <w:p w14:paraId="2053FC3F" w14:textId="77777777" w:rsidR="00D618E2" w:rsidRDefault="00000000">
      <w:pPr>
        <w:pStyle w:val="Titre2"/>
        <w:keepNext/>
        <w:pBdr>
          <w:bottom w:val="single" w:sz="6" w:space="2" w:color="E8571E"/>
        </w:pBdr>
        <w:spacing w:before="280" w:after="120"/>
      </w:pPr>
      <w:r>
        <w:rPr>
          <w:b/>
          <w:bCs/>
          <w:color w:val="E8571E"/>
        </w:rPr>
        <w:t>Paramètres financiers</w:t>
      </w:r>
    </w:p>
    <w:p w14:paraId="2053FC40" w14:textId="77777777" w:rsidR="00D618E2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 xml:space="preserve">Coût du capital : </w:t>
      </w:r>
      <w:r>
        <w:t>12 %</w:t>
      </w:r>
    </w:p>
    <w:p w14:paraId="2053FC41" w14:textId="77777777" w:rsidR="00D618E2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 xml:space="preserve">Taux d'imposition : </w:t>
      </w:r>
      <w:r>
        <w:t>25 %</w:t>
      </w:r>
    </w:p>
    <w:p w14:paraId="2053FC42" w14:textId="77777777" w:rsidR="00D618E2" w:rsidRDefault="00000000">
      <w:pPr>
        <w:pStyle w:val="Titre2"/>
        <w:keepNext/>
        <w:pBdr>
          <w:bottom w:val="single" w:sz="6" w:space="2" w:color="E8571E"/>
        </w:pBdr>
        <w:spacing w:before="280" w:after="120"/>
      </w:pPr>
      <w:r>
        <w:rPr>
          <w:b/>
          <w:bCs/>
          <w:color w:val="E8571E"/>
        </w:rPr>
        <w:lastRenderedPageBreak/>
        <w:t>Travail à faire</w:t>
      </w:r>
    </w:p>
    <w:p w14:paraId="2053FC43" w14:textId="77777777" w:rsidR="00D618E2" w:rsidRDefault="00000000">
      <w:pPr>
        <w:pStyle w:val="Paragraphedeliste"/>
        <w:numPr>
          <w:ilvl w:val="0"/>
          <w:numId w:val="3"/>
        </w:numPr>
        <w:spacing w:after="60"/>
      </w:pPr>
      <w:r>
        <w:t>Calculer les flux de trésorerie nets annuels de N à N+5.</w:t>
      </w:r>
    </w:p>
    <w:p w14:paraId="2053FC44" w14:textId="77777777" w:rsidR="00D618E2" w:rsidRDefault="00000000">
      <w:pPr>
        <w:pStyle w:val="Paragraphedeliste"/>
        <w:numPr>
          <w:ilvl w:val="0"/>
          <w:numId w:val="3"/>
        </w:numPr>
        <w:spacing w:after="60"/>
      </w:pPr>
      <w:r>
        <w:t>Calculer la VAN.</w:t>
      </w:r>
    </w:p>
    <w:p w14:paraId="2053FC45" w14:textId="77777777" w:rsidR="00D618E2" w:rsidRDefault="00000000">
      <w:pPr>
        <w:pStyle w:val="Paragraphedeliste"/>
        <w:numPr>
          <w:ilvl w:val="0"/>
          <w:numId w:val="3"/>
        </w:numPr>
        <w:spacing w:after="60"/>
      </w:pPr>
      <w:r>
        <w:t>Calculer le TRI.</w:t>
      </w:r>
    </w:p>
    <w:p w14:paraId="2053FC46" w14:textId="77777777" w:rsidR="00D618E2" w:rsidRDefault="00000000">
      <w:pPr>
        <w:pStyle w:val="Paragraphedeliste"/>
        <w:numPr>
          <w:ilvl w:val="0"/>
          <w:numId w:val="3"/>
        </w:numPr>
        <w:spacing w:after="60"/>
      </w:pPr>
      <w:r>
        <w:t>Calculer l'indice de profitabilité (IP).</w:t>
      </w:r>
    </w:p>
    <w:p w14:paraId="2053FC47" w14:textId="77777777" w:rsidR="00D618E2" w:rsidRDefault="00000000">
      <w:pPr>
        <w:pStyle w:val="Paragraphedeliste"/>
        <w:numPr>
          <w:ilvl w:val="0"/>
          <w:numId w:val="3"/>
        </w:numPr>
        <w:spacing w:after="60"/>
      </w:pPr>
      <w:r>
        <w:t>Calculer le délai de récupération du capital investi actualisé (DRCI).</w:t>
      </w:r>
    </w:p>
    <w:p w14:paraId="2053FC48" w14:textId="77777777" w:rsidR="00D618E2" w:rsidRDefault="00000000">
      <w:pPr>
        <w:pStyle w:val="Paragraphedeliste"/>
        <w:numPr>
          <w:ilvl w:val="0"/>
          <w:numId w:val="3"/>
        </w:numPr>
        <w:spacing w:after="60"/>
      </w:pPr>
      <w:r>
        <w:t>Que devient le DRCI si l’on ne tient compte ni des valeurs de cession de fin de projet ni de la récupération du BFR ? Que faut-il en conclure ?</w:t>
      </w:r>
    </w:p>
    <w:p w14:paraId="2053FC49" w14:textId="77777777" w:rsidR="00D618E2" w:rsidRDefault="00000000">
      <w:pPr>
        <w:pStyle w:val="Paragraphedeliste"/>
        <w:numPr>
          <w:ilvl w:val="0"/>
          <w:numId w:val="3"/>
        </w:numPr>
        <w:spacing w:after="60"/>
      </w:pPr>
      <w:r>
        <w:t>Quelle serait la VAN si l’on avait omis l’effet de cannibalisation ? Commentez.</w:t>
      </w:r>
    </w:p>
    <w:p w14:paraId="2053FC4A" w14:textId="77777777" w:rsidR="00D618E2" w:rsidRDefault="00000000">
      <w:pPr>
        <w:pStyle w:val="Titre2"/>
        <w:keepNext/>
        <w:pBdr>
          <w:bottom w:val="single" w:sz="6" w:space="2" w:color="E8571E"/>
        </w:pBdr>
        <w:spacing w:before="280" w:after="120"/>
      </w:pPr>
      <w:r>
        <w:rPr>
          <w:b/>
          <w:bCs/>
          <w:color w:val="E8571E"/>
        </w:rPr>
        <w:t>Annexe 1 – Compte de résultat prévisionnel (en k€)</w:t>
      </w:r>
    </w:p>
    <w:tbl>
      <w:tblPr>
        <w:tblW w:w="96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38"/>
        <w:gridCol w:w="1233"/>
        <w:gridCol w:w="1233"/>
        <w:gridCol w:w="1233"/>
        <w:gridCol w:w="1233"/>
        <w:gridCol w:w="1233"/>
        <w:gridCol w:w="1233"/>
      </w:tblGrid>
      <w:tr w:rsidR="00D618E2" w14:paraId="2053FC5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4B" w14:textId="77777777" w:rsidR="00D618E2" w:rsidRDefault="00D618E2"/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4C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4D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N+1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4E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N+2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4F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N+3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50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N+4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51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N+5</w:t>
            </w:r>
          </w:p>
        </w:tc>
      </w:tr>
      <w:tr w:rsidR="00D618E2" w14:paraId="2053FC5A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53" w14:textId="77777777" w:rsidR="00D618E2" w:rsidRDefault="00D618E2">
            <w:r>
              <w:rPr>
                <w:sz w:val="20"/>
                <w:szCs w:val="20"/>
              </w:rPr>
              <w:t xml:space="preserve">Chiffre d’affaires HT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54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55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1 800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56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2 600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57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3 400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58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3 640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59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3 000</w:t>
            </w:r>
          </w:p>
        </w:tc>
      </w:tr>
      <w:tr w:rsidR="00D618E2" w14:paraId="2053FC62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5B" w14:textId="77777777" w:rsidR="00D618E2" w:rsidRDefault="00D618E2">
            <w:r>
              <w:rPr>
                <w:sz w:val="20"/>
                <w:szCs w:val="20"/>
              </w:rPr>
              <w:t xml:space="preserve">− Charges variables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5C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5D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−900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5E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−1 300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5F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−1 530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60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−1 638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61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−1 350</w:t>
            </w:r>
          </w:p>
        </w:tc>
      </w:tr>
      <w:tr w:rsidR="00D618E2" w14:paraId="2053FC6A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63" w14:textId="77777777" w:rsidR="00D618E2" w:rsidRDefault="00D618E2">
            <w:r>
              <w:rPr>
                <w:sz w:val="20"/>
                <w:szCs w:val="20"/>
              </w:rPr>
              <w:t xml:space="preserve">− Charges fixes spécifiques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64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65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−150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66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−150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67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−200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68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−200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69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−200</w:t>
            </w:r>
          </w:p>
        </w:tc>
      </w:tr>
      <w:tr w:rsidR="00D618E2" w14:paraId="2053FC72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6B" w14:textId="77777777" w:rsidR="00D618E2" w:rsidRDefault="00D618E2">
            <w:r>
              <w:rPr>
                <w:sz w:val="20"/>
                <w:szCs w:val="20"/>
              </w:rPr>
              <w:t xml:space="preserve">− Perte de marge (cannibalisation)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6C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6D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−50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6E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−50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6F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−50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70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−50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71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−50</w:t>
            </w:r>
          </w:p>
        </w:tc>
      </w:tr>
      <w:tr w:rsidR="00D618E2" w14:paraId="2053FC7A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73" w14:textId="77777777" w:rsidR="00D618E2" w:rsidRDefault="00D618E2">
            <w:r>
              <w:rPr>
                <w:sz w:val="20"/>
                <w:szCs w:val="20"/>
              </w:rPr>
              <w:t xml:space="preserve">− Frais de démarrage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74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−80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75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76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77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78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79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</w:tr>
      <w:tr w:rsidR="00D618E2" w14:paraId="2053FC82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7B" w14:textId="77777777" w:rsidR="00D618E2" w:rsidRDefault="00D618E2">
            <w:r>
              <w:rPr>
                <w:b/>
                <w:bCs/>
                <w:sz w:val="20"/>
                <w:szCs w:val="20"/>
              </w:rPr>
              <w:t xml:space="preserve">= EBE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7C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−80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7D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700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7E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1 100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7F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1 620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80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1 752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81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1 400</w:t>
            </w:r>
          </w:p>
        </w:tc>
      </w:tr>
      <w:tr w:rsidR="00D618E2" w14:paraId="2053FC8A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83" w14:textId="77777777" w:rsidR="00D618E2" w:rsidRDefault="00D618E2">
            <w:r>
              <w:rPr>
                <w:sz w:val="20"/>
                <w:szCs w:val="20"/>
              </w:rPr>
              <w:t xml:space="preserve">− Dotations aux amortissements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84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85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−560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86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−560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87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−760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88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−760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89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−760</w:t>
            </w:r>
          </w:p>
        </w:tc>
      </w:tr>
      <w:tr w:rsidR="00D618E2" w14:paraId="2053FC92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8B" w14:textId="77777777" w:rsidR="00D618E2" w:rsidRDefault="00D618E2">
            <w:r>
              <w:rPr>
                <w:b/>
                <w:bCs/>
                <w:sz w:val="20"/>
                <w:szCs w:val="20"/>
              </w:rPr>
              <w:t xml:space="preserve">= Résultat avant impôt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8C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−80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8D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140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8E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540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8F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860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90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992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91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640</w:t>
            </w:r>
          </w:p>
        </w:tc>
      </w:tr>
      <w:tr w:rsidR="00D618E2" w14:paraId="2053FC9A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93" w14:textId="77777777" w:rsidR="00D618E2" w:rsidRDefault="00D618E2">
            <w:r>
              <w:rPr>
                <w:sz w:val="20"/>
                <w:szCs w:val="20"/>
              </w:rPr>
              <w:t xml:space="preserve">− IS 25 % (+ économie si perte)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94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20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95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−35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96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−135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97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−215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98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−248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99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−160</w:t>
            </w:r>
          </w:p>
        </w:tc>
      </w:tr>
      <w:tr w:rsidR="00D618E2" w14:paraId="2053FCA2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9B" w14:textId="77777777" w:rsidR="00D618E2" w:rsidRDefault="00D618E2">
            <w:r>
              <w:rPr>
                <w:b/>
                <w:bCs/>
                <w:sz w:val="20"/>
                <w:szCs w:val="20"/>
              </w:rPr>
              <w:t xml:space="preserve">= Résultat net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9C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−60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9D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105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9E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405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9F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645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A0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744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A1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480</w:t>
            </w:r>
          </w:p>
        </w:tc>
      </w:tr>
    </w:tbl>
    <w:p w14:paraId="2053FCA3" w14:textId="77777777" w:rsidR="00D618E2" w:rsidRDefault="00000000">
      <w:pPr>
        <w:pStyle w:val="Titre2"/>
        <w:keepNext/>
        <w:pBdr>
          <w:bottom w:val="single" w:sz="6" w:space="2" w:color="E8571E"/>
        </w:pBdr>
        <w:spacing w:before="280" w:after="120"/>
      </w:pPr>
      <w:r>
        <w:rPr>
          <w:b/>
          <w:bCs/>
          <w:color w:val="E8571E"/>
        </w:rPr>
        <w:t>Annexe 2 – BFR et variation (en k€)</w:t>
      </w:r>
    </w:p>
    <w:tbl>
      <w:tblPr>
        <w:tblW w:w="96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38"/>
        <w:gridCol w:w="1233"/>
        <w:gridCol w:w="1233"/>
        <w:gridCol w:w="1233"/>
        <w:gridCol w:w="1233"/>
        <w:gridCol w:w="1233"/>
        <w:gridCol w:w="1233"/>
      </w:tblGrid>
      <w:tr w:rsidR="00D618E2" w14:paraId="2053FCA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A4" w14:textId="77777777" w:rsidR="00D618E2" w:rsidRDefault="00D618E2"/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A5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A6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N+1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A7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N+2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A8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N+3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A9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N+4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AA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N+5</w:t>
            </w:r>
          </w:p>
        </w:tc>
      </w:tr>
      <w:tr w:rsidR="00D618E2" w14:paraId="2053FCB3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AC" w14:textId="77777777" w:rsidR="00D618E2" w:rsidRDefault="00D618E2">
            <w:r>
              <w:rPr>
                <w:sz w:val="20"/>
                <w:szCs w:val="20"/>
              </w:rPr>
              <w:t xml:space="preserve">CA HT de l’année suivante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AD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1 800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AE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2 600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AF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3 400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B0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3 640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B1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3 000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B2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</w:tr>
      <w:tr w:rsidR="00D618E2" w14:paraId="2053FCBB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B4" w14:textId="77777777" w:rsidR="00D618E2" w:rsidRDefault="00D618E2">
            <w:r>
              <w:rPr>
                <w:sz w:val="20"/>
                <w:szCs w:val="20"/>
              </w:rPr>
              <w:t xml:space="preserve">BFR à financer (45/360 du CA)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B5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225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B6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325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B7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425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B8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455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B9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375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BA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</w:tr>
      <w:tr w:rsidR="00D618E2" w14:paraId="2053FCC3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BC" w14:textId="77777777" w:rsidR="00D618E2" w:rsidRDefault="00D618E2">
            <w:r>
              <w:rPr>
                <w:b/>
                <w:bCs/>
                <w:sz w:val="20"/>
                <w:szCs w:val="20"/>
              </w:rPr>
              <w:t xml:space="preserve">Variation du BFR (+ besoin / − récupération)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BD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225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BE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100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BF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100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C0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30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C1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−80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C2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−375</w:t>
            </w:r>
          </w:p>
        </w:tc>
      </w:tr>
    </w:tbl>
    <w:p w14:paraId="2053FCC4" w14:textId="77777777" w:rsidR="00D618E2" w:rsidRDefault="00000000">
      <w:pPr>
        <w:pStyle w:val="Titre2"/>
        <w:keepNext/>
        <w:pBdr>
          <w:bottom w:val="single" w:sz="6" w:space="2" w:color="E8571E"/>
        </w:pBdr>
        <w:spacing w:before="280" w:after="120"/>
      </w:pPr>
      <w:r>
        <w:rPr>
          <w:b/>
          <w:bCs/>
          <w:color w:val="E8571E"/>
        </w:rPr>
        <w:t>Annexe 3 – Cessions et opérations de lancement (en k€)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8"/>
        <w:gridCol w:w="2333"/>
        <w:gridCol w:w="2333"/>
        <w:gridCol w:w="2333"/>
      </w:tblGrid>
      <w:tr w:rsidR="00D618E2" w14:paraId="2053FCC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C5" w14:textId="77777777" w:rsidR="00D618E2" w:rsidRDefault="00D618E2"/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C6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Ancien matériel (N)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C7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Ligne (fin N+5)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C8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Bâtiment (fin N+5)</w:t>
            </w:r>
          </w:p>
        </w:tc>
      </w:tr>
      <w:tr w:rsidR="00D618E2" w14:paraId="2053FCCE" w14:textId="77777777">
        <w:tblPrEx>
          <w:tblCellMar>
            <w:top w:w="0" w:type="dxa"/>
            <w:bottom w:w="0" w:type="dxa"/>
          </w:tblCellMar>
        </w:tblPrEx>
        <w:tc>
          <w:tcPr>
            <w:tcW w:w="26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CA" w14:textId="77777777" w:rsidR="00D618E2" w:rsidRDefault="00D618E2">
            <w:r>
              <w:rPr>
                <w:sz w:val="20"/>
                <w:szCs w:val="20"/>
              </w:rPr>
              <w:t xml:space="preserve">Prix de cession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CB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120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CC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300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CD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500</w:t>
            </w:r>
          </w:p>
        </w:tc>
      </w:tr>
      <w:tr w:rsidR="00D618E2" w14:paraId="2053FCD3" w14:textId="77777777">
        <w:tblPrEx>
          <w:tblCellMar>
            <w:top w:w="0" w:type="dxa"/>
            <w:bottom w:w="0" w:type="dxa"/>
          </w:tblCellMar>
        </w:tblPrEx>
        <w:tc>
          <w:tcPr>
            <w:tcW w:w="26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CF" w14:textId="77777777" w:rsidR="00D618E2" w:rsidRDefault="00D618E2">
            <w:r>
              <w:rPr>
                <w:sz w:val="20"/>
                <w:szCs w:val="20"/>
              </w:rPr>
              <w:t xml:space="preserve">− Valeur nette comptable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D0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−40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D1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D2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−600</w:t>
            </w:r>
          </w:p>
        </w:tc>
      </w:tr>
      <w:tr w:rsidR="00D618E2" w14:paraId="2053FCD8" w14:textId="77777777">
        <w:tblPrEx>
          <w:tblCellMar>
            <w:top w:w="0" w:type="dxa"/>
            <w:bottom w:w="0" w:type="dxa"/>
          </w:tblCellMar>
        </w:tblPrEx>
        <w:tc>
          <w:tcPr>
            <w:tcW w:w="26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D4" w14:textId="77777777" w:rsidR="00D618E2" w:rsidRDefault="00D618E2">
            <w:r>
              <w:rPr>
                <w:b/>
                <w:bCs/>
                <w:sz w:val="20"/>
                <w:szCs w:val="20"/>
              </w:rPr>
              <w:t xml:space="preserve">= Plus (+) ou moins-value (−)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D5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80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D6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300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D7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−100</w:t>
            </w:r>
          </w:p>
        </w:tc>
      </w:tr>
      <w:tr w:rsidR="00D618E2" w14:paraId="2053FCDD" w14:textId="77777777">
        <w:tblPrEx>
          <w:tblCellMar>
            <w:top w:w="0" w:type="dxa"/>
            <w:bottom w:w="0" w:type="dxa"/>
          </w:tblCellMar>
        </w:tblPrEx>
        <w:tc>
          <w:tcPr>
            <w:tcW w:w="26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D9" w14:textId="77777777" w:rsidR="00D618E2" w:rsidRDefault="00D618E2">
            <w:r>
              <w:rPr>
                <w:sz w:val="20"/>
                <w:szCs w:val="20"/>
              </w:rPr>
              <w:t xml:space="preserve">− Impôt 25 % (+ économie si MV)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DA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−20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DB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−75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DC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25</w:t>
            </w:r>
          </w:p>
        </w:tc>
      </w:tr>
      <w:tr w:rsidR="00D618E2" w14:paraId="2053FCE2" w14:textId="77777777">
        <w:tblPrEx>
          <w:tblCellMar>
            <w:top w:w="0" w:type="dxa"/>
            <w:bottom w:w="0" w:type="dxa"/>
          </w:tblCellMar>
        </w:tblPrEx>
        <w:tc>
          <w:tcPr>
            <w:tcW w:w="26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DE" w14:textId="77777777" w:rsidR="00D618E2" w:rsidRDefault="00D618E2">
            <w:r>
              <w:rPr>
                <w:b/>
                <w:bCs/>
                <w:sz w:val="20"/>
                <w:szCs w:val="20"/>
              </w:rPr>
              <w:t xml:space="preserve">= Flux net de trésorerie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DF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100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E0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225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E1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525</w:t>
            </w:r>
          </w:p>
        </w:tc>
      </w:tr>
    </w:tbl>
    <w:p w14:paraId="2053FCE3" w14:textId="77777777" w:rsidR="00D618E2" w:rsidRDefault="00000000">
      <w:pPr>
        <w:pStyle w:val="Titre2"/>
        <w:keepNext/>
        <w:pBdr>
          <w:bottom w:val="single" w:sz="6" w:space="2" w:color="E8571E"/>
        </w:pBdr>
        <w:spacing w:before="280" w:after="120"/>
      </w:pPr>
      <w:r>
        <w:rPr>
          <w:b/>
          <w:bCs/>
          <w:color w:val="E8571E"/>
        </w:rPr>
        <w:lastRenderedPageBreak/>
        <w:t>Annexe 4 – Free cash flows (en k€)</w:t>
      </w:r>
    </w:p>
    <w:tbl>
      <w:tblPr>
        <w:tblW w:w="96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38"/>
        <w:gridCol w:w="1233"/>
        <w:gridCol w:w="1233"/>
        <w:gridCol w:w="1233"/>
        <w:gridCol w:w="1233"/>
        <w:gridCol w:w="1233"/>
        <w:gridCol w:w="1233"/>
      </w:tblGrid>
      <w:tr w:rsidR="00D618E2" w14:paraId="2053FCE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E4" w14:textId="77777777" w:rsidR="00D618E2" w:rsidRDefault="00D618E2"/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E5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E6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N+1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E7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N+2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E8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N+3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E9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N+4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EA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N+5</w:t>
            </w:r>
          </w:p>
        </w:tc>
      </w:tr>
      <w:tr w:rsidR="00D618E2" w14:paraId="2053FCF3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EC" w14:textId="77777777" w:rsidR="00D618E2" w:rsidRDefault="00D618E2">
            <w:r>
              <w:rPr>
                <w:sz w:val="20"/>
                <w:szCs w:val="20"/>
              </w:rPr>
              <w:t xml:space="preserve">Résultat net (Annexe 1)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ED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−60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EE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105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EF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405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F0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645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F1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744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F2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480</w:t>
            </w:r>
          </w:p>
        </w:tc>
      </w:tr>
      <w:tr w:rsidR="00D618E2" w14:paraId="2053FCFB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F4" w14:textId="77777777" w:rsidR="00D618E2" w:rsidRDefault="00D618E2">
            <w:r>
              <w:rPr>
                <w:sz w:val="20"/>
                <w:szCs w:val="20"/>
              </w:rPr>
              <w:t xml:space="preserve">+ Dotations aux amortissements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F5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F6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560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F7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560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F8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760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F9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760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FA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760</w:t>
            </w:r>
          </w:p>
        </w:tc>
      </w:tr>
      <w:tr w:rsidR="00D618E2" w14:paraId="2053FD03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FC" w14:textId="77777777" w:rsidR="00D618E2" w:rsidRDefault="00D618E2">
            <w:r>
              <w:rPr>
                <w:b/>
                <w:bCs/>
                <w:sz w:val="20"/>
                <w:szCs w:val="20"/>
              </w:rPr>
              <w:t xml:space="preserve">= CAF d’exploitation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FD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−60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FE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665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FF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965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00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1 405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01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1 504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02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1 240</w:t>
            </w:r>
          </w:p>
        </w:tc>
      </w:tr>
      <w:tr w:rsidR="00D618E2" w14:paraId="2053FD0B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04" w14:textId="77777777" w:rsidR="00D618E2" w:rsidRDefault="00D618E2">
            <w:r>
              <w:rPr>
                <w:sz w:val="20"/>
                <w:szCs w:val="20"/>
              </w:rPr>
              <w:t xml:space="preserve">− Investissements (bât. + ligne ; robot)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05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−3 400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06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07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−600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08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09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0A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</w:tr>
      <w:tr w:rsidR="00D618E2" w14:paraId="2053FD13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0C" w14:textId="77777777" w:rsidR="00D618E2" w:rsidRDefault="00D618E2">
            <w:r>
              <w:rPr>
                <w:sz w:val="20"/>
                <w:szCs w:val="20"/>
              </w:rPr>
              <w:t xml:space="preserve">+ Cession nette ancien matériel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0D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100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0E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0F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10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11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12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</w:tr>
      <w:tr w:rsidR="00D618E2" w14:paraId="2053FD1B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14" w14:textId="77777777" w:rsidR="00D618E2" w:rsidRDefault="00D618E2">
            <w:r>
              <w:rPr>
                <w:sz w:val="20"/>
                <w:szCs w:val="20"/>
              </w:rPr>
              <w:t xml:space="preserve">− Variation du BFR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15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−225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16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−100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17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−100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18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−30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19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80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1A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375</w:t>
            </w:r>
          </w:p>
        </w:tc>
      </w:tr>
      <w:tr w:rsidR="00D618E2" w14:paraId="2053FD23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1C" w14:textId="77777777" w:rsidR="00D618E2" w:rsidRDefault="00D618E2">
            <w:r>
              <w:rPr>
                <w:sz w:val="20"/>
                <w:szCs w:val="20"/>
              </w:rPr>
              <w:t xml:space="preserve">+ Cession nette ligne (fin N+5)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1D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1E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1F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20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21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22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225</w:t>
            </w:r>
          </w:p>
        </w:tc>
      </w:tr>
      <w:tr w:rsidR="00D618E2" w14:paraId="2053FD2B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24" w14:textId="77777777" w:rsidR="00D618E2" w:rsidRDefault="00D618E2">
            <w:r>
              <w:rPr>
                <w:sz w:val="20"/>
                <w:szCs w:val="20"/>
              </w:rPr>
              <w:t xml:space="preserve">+ Cession nette bâtiment (fin N+5)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25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26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27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28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29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2A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525</w:t>
            </w:r>
          </w:p>
        </w:tc>
      </w:tr>
      <w:tr w:rsidR="00D618E2" w14:paraId="2053FD33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2C" w14:textId="77777777" w:rsidR="00D618E2" w:rsidRDefault="00D618E2">
            <w:r>
              <w:rPr>
                <w:b/>
                <w:bCs/>
                <w:sz w:val="20"/>
                <w:szCs w:val="20"/>
              </w:rPr>
              <w:t xml:space="preserve">= Free cash flow (FCF)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2D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−3 585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2E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565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2F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265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30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1 375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31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1 584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32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2 365</w:t>
            </w:r>
          </w:p>
        </w:tc>
      </w:tr>
      <w:tr w:rsidR="00D618E2" w14:paraId="2053FD3B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34" w14:textId="77777777" w:rsidR="00D618E2" w:rsidRDefault="00D618E2">
            <w:r>
              <w:rPr>
                <w:sz w:val="20"/>
                <w:szCs w:val="20"/>
              </w:rPr>
              <w:t xml:space="preserve">FCF cumulés (non actualisés)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35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−3 585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36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−3 020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37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−2 755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38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−1 380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39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204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3A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2 569</w:t>
            </w:r>
          </w:p>
        </w:tc>
      </w:tr>
    </w:tbl>
    <w:p w14:paraId="2053FD3C" w14:textId="77777777" w:rsidR="00D618E2" w:rsidRDefault="00000000">
      <w:pPr>
        <w:pStyle w:val="Titre2"/>
        <w:keepNext/>
        <w:pBdr>
          <w:bottom w:val="single" w:sz="6" w:space="2" w:color="E8571E"/>
        </w:pBdr>
        <w:spacing w:before="280" w:after="120"/>
      </w:pPr>
      <w:r>
        <w:rPr>
          <w:b/>
          <w:bCs/>
          <w:color w:val="E8571E"/>
        </w:rPr>
        <w:t>Annexe 5 – DRCI (en k€)</w:t>
      </w:r>
    </w:p>
    <w:tbl>
      <w:tblPr>
        <w:tblW w:w="96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38"/>
        <w:gridCol w:w="1233"/>
        <w:gridCol w:w="1233"/>
        <w:gridCol w:w="1233"/>
        <w:gridCol w:w="1233"/>
        <w:gridCol w:w="1233"/>
        <w:gridCol w:w="1233"/>
      </w:tblGrid>
      <w:tr w:rsidR="00D618E2" w14:paraId="2053FD4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3D" w14:textId="77777777" w:rsidR="00D618E2" w:rsidRDefault="00D618E2"/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3E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3F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N+1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40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N+2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41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N+3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42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N+4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43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N+5</w:t>
            </w:r>
          </w:p>
        </w:tc>
      </w:tr>
      <w:tr w:rsidR="00D618E2" w14:paraId="2053FD4C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45" w14:textId="77777777" w:rsidR="00D618E2" w:rsidRDefault="00D618E2">
            <w:r>
              <w:rPr>
                <w:sz w:val="20"/>
                <w:szCs w:val="20"/>
              </w:rPr>
              <w:t xml:space="preserve">Coefficient d’actualisation 1,12⁻ⁿ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46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1,0000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47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0,8929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48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0,7972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49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0,7118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4A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0,6355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4B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0,5674</w:t>
            </w:r>
          </w:p>
        </w:tc>
      </w:tr>
      <w:tr w:rsidR="00D618E2" w14:paraId="2053FD54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4D" w14:textId="77777777" w:rsidR="00D618E2" w:rsidRDefault="00D618E2">
            <w:r>
              <w:rPr>
                <w:sz w:val="20"/>
                <w:szCs w:val="20"/>
              </w:rPr>
              <w:t xml:space="preserve">FCF actualisés à 12 %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4E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−3 585,0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4F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504,5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50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211,3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51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978,7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52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1 006,7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53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1 342,0</w:t>
            </w:r>
          </w:p>
        </w:tc>
      </w:tr>
      <w:tr w:rsidR="00D618E2" w14:paraId="2053FD5C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55" w14:textId="77777777" w:rsidR="00D618E2" w:rsidRDefault="00D618E2">
            <w:r>
              <w:rPr>
                <w:b/>
                <w:bCs/>
                <w:sz w:val="20"/>
                <w:szCs w:val="20"/>
              </w:rPr>
              <w:t xml:space="preserve">Cumul des FCF actualisés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56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−3 585,0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57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−3 080,5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58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−2 869,3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59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−1 890,6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5A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−883,9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5B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458,0</w:t>
            </w:r>
          </w:p>
        </w:tc>
      </w:tr>
    </w:tbl>
    <w:p w14:paraId="2053FD5D" w14:textId="77777777" w:rsidR="00D618E2" w:rsidRDefault="00000000">
      <w:pPr>
        <w:pStyle w:val="Titre2"/>
        <w:keepNext/>
        <w:pBdr>
          <w:bottom w:val="single" w:sz="6" w:space="2" w:color="E8571E"/>
        </w:pBdr>
        <w:spacing w:before="280" w:after="120"/>
      </w:pPr>
      <w:r>
        <w:rPr>
          <w:b/>
          <w:bCs/>
          <w:color w:val="E8571E"/>
        </w:rPr>
        <w:t>Corrigé – Réponses aux questions</w:t>
      </w:r>
    </w:p>
    <w:p>
      <w:pPr>
        <w:spacing w:after="100"/>
        <w:jc w:val="both"/>
      </w:pPr>
      <w:r>
        <w:rPr>
          <w:b/>
          <w:bCs/>
        </w:rPr>
        <w:t xml:space="preserve">Hypothèses retenues : </w:t>
      </w:r>
      <w:r>
        <w:rPr/>
        <w:t xml:space="preserve">raisonnement en flux différentiels (ce que le projet ajoute ou retire à l’entreprise) ; flux de fin d’année ; année N = date 0. Le BFR d’une année est constitué fin de l’année précédente (BFR de N+1 = 45/360 × 1 800 = 225 k€ décaissé en N). Les frais de démarrage (80 k€) sont des charges déductibles de N : décaissement net d’impôt = 80 × (1 − 25 %) = 60 k€. L’entreprise étant bénéficiaire, toute moins-value génère une économie d’impôt immédiate.</w:t>
      </w:r>
    </w:p>
    <w:p>
      <w:pPr>
        <w:spacing w:after="100"/>
        <w:jc w:val="both"/>
      </w:pPr>
      <w:r>
        <w:rPr>
          <w:b/>
          <w:bCs/>
        </w:rPr>
        <w:t xml:space="preserve">Amortissements : </w:t>
      </w:r>
      <w:r>
        <w:rPr/>
        <w:t xml:space="preserve">bâtiment 900/15 = 60 k€/an ; ligne 2 500/5 = 500 k€/an ; robot 600/3 = 200 k€/an de N+3 à N+5. Total : 560 k€ en N+1 et N+2, 760 k€ de N+3 à N+5. VNC fin N+5 : bâtiment 900 − 5 × 60 = 600 k€ ; ligne 0 ; robot 0.</w:t>
      </w:r>
    </w:p>
    <w:p>
      <w:pPr>
        <w:spacing w:after="60"/>
        <w:jc w:val="both"/>
      </w:pPr>
      <w:r>
        <w:rPr>
          <w:b/>
          <w:bCs/>
          <w:color w:val="E8571E"/>
        </w:rPr>
        <w:t xml:space="preserve">1. Flux de trésorerie nets annuels (Annexes 1 à 4)</w:t>
      </w:r>
    </w:p>
    <w:p>
      <w:pPr>
        <w:spacing w:after="100"/>
        <w:jc w:val="both"/>
      </w:pPr>
      <w:r>
        <w:rPr/>
        <w:t xml:space="preserve">FCF = CAF d’exploitation − investissements + cessions nettes d’impôt − variation du BFR.</w:t>
      </w:r>
    </w:p>
    <w:p>
      <w:pPr>
        <w:spacing w:after="60"/>
        <w:ind w:left="360"/>
        <w:jc w:val="both"/>
      </w:pPr>
      <w:r>
        <w:rPr>
          <w:b/>
          <w:bCs/>
        </w:rPr>
        <w:t xml:space="preserve">N : </w:t>
      </w:r>
      <w:r>
        <w:rPr/>
        <w:t xml:space="preserve">−60 (frais de démarrage nets) − 3 400 (bâtiment + ligne) + 100 (cession nette ancien matériel : 120 − 20 d’IS sur PV de 80) − 225 (BFR) = </w:t>
      </w:r>
      <w:r>
        <w:rPr>
          <w:b/>
          <w:bCs/>
        </w:rPr>
        <w:t xml:space="preserve">−3 585 k€</w:t>
      </w:r>
    </w:p>
    <w:p>
      <w:pPr>
        <w:spacing w:after="60"/>
        <w:ind w:left="360"/>
        <w:jc w:val="both"/>
      </w:pPr>
      <w:r>
        <w:rPr>
          <w:b/>
          <w:bCs/>
        </w:rPr>
        <w:t xml:space="preserve">N+1 : </w:t>
      </w:r>
      <w:r>
        <w:rPr/>
        <w:t xml:space="preserve">665 − 100 = </w:t>
      </w:r>
      <w:r>
        <w:rPr>
          <w:b/>
          <w:bCs/>
        </w:rPr>
        <w:t xml:space="preserve">565 k€</w:t>
      </w:r>
      <w:r>
        <w:rPr/>
        <w:t xml:space="preserve"> ; </w:t>
      </w:r>
      <w:r>
        <w:rPr>
          <w:b/>
          <w:bCs/>
        </w:rPr>
        <w:t xml:space="preserve">N+2 : </w:t>
      </w:r>
      <w:r>
        <w:rPr/>
        <w:t xml:space="preserve">965 − 600 (robot) − 100 = </w:t>
      </w:r>
      <w:r>
        <w:rPr>
          <w:b/>
          <w:bCs/>
        </w:rPr>
        <w:t xml:space="preserve">265 k€</w:t>
      </w:r>
      <w:r>
        <w:rPr/>
        <w:t xml:space="preserve"> ; </w:t>
      </w:r>
      <w:r>
        <w:rPr>
          <w:b/>
          <w:bCs/>
        </w:rPr>
        <w:t xml:space="preserve">N+3 : </w:t>
      </w:r>
      <w:r>
        <w:rPr/>
        <w:t xml:space="preserve">1 405 − 30 = </w:t>
      </w:r>
      <w:r>
        <w:rPr>
          <w:b/>
          <w:bCs/>
        </w:rPr>
        <w:t xml:space="preserve">1 375 k€</w:t>
      </w:r>
      <w:r>
        <w:rPr/>
        <w:t xml:space="preserve"> ; </w:t>
      </w:r>
      <w:r>
        <w:rPr>
          <w:b/>
          <w:bCs/>
        </w:rPr>
        <w:t xml:space="preserve">N+4 : </w:t>
      </w:r>
      <w:r>
        <w:rPr/>
        <w:t xml:space="preserve">1 504 + 80 = </w:t>
      </w:r>
      <w:r>
        <w:rPr>
          <w:b/>
          <w:bCs/>
        </w:rPr>
        <w:t xml:space="preserve">1 584 k€</w:t>
      </w:r>
    </w:p>
    <w:p>
      <w:pPr>
        <w:spacing w:after="120"/>
        <w:ind w:left="360"/>
        <w:jc w:val="both"/>
      </w:pPr>
      <w:r>
        <w:rPr>
          <w:b/>
          <w:bCs/>
        </w:rPr>
        <w:t xml:space="preserve">N+5 : </w:t>
      </w:r>
      <w:r>
        <w:rPr/>
        <w:t xml:space="preserve">1 240 (CAF) + 375 (récupération BFR) + 225 (ligne : 300 − 75 d’IS) + 525 (bâtiment : 500 + 25 d’économie d’IS sur MV de 100) = </w:t>
      </w:r>
      <w:r>
        <w:rPr>
          <w:b/>
          <w:bCs/>
        </w:rPr>
        <w:t xml:space="preserve">2 365 k€</w:t>
      </w:r>
    </w:p>
    <w:p>
      <w:pPr>
        <w:spacing w:after="60"/>
        <w:jc w:val="both"/>
      </w:pPr>
      <w:r>
        <w:rPr>
          <w:b/>
          <w:bCs/>
          <w:color w:val="E8571E"/>
        </w:rPr>
        <w:t xml:space="preserve">2. VAN à 12 %</w:t>
      </w:r>
    </w:p>
    <w:p>
      <w:pPr>
        <w:spacing w:after="100"/>
        <w:jc w:val="both"/>
      </w:pPr>
      <w:r>
        <w:rPr/>
        <w:t xml:space="preserve">VAN = −3 585 + 565/1,12 + 265/1,12² + 1 375/1,12³ + 1 584/1,12⁴ + 2 365/1,12⁵ = −3 585 + 4 043,0 = </w:t>
      </w:r>
      <w:r>
        <w:rPr>
          <w:b/>
          <w:bCs/>
        </w:rPr>
        <w:t xml:space="preserve">+458,0 k€</w:t>
      </w:r>
      <w:r>
        <w:rPr/>
        <w:t xml:space="preserve">.</w:t>
      </w:r>
    </w:p>
    <w:p>
      <w:pPr>
        <w:spacing w:after="120"/>
        <w:jc w:val="both"/>
      </w:pPr>
      <w:r>
        <w:rPr/>
        <w:t xml:space="preserve">La VAN est positive : le projet rémunère les capitaux au-delà des 12 % exigés et crée environ 458 k€ de valeur. </w:t>
      </w:r>
      <w:r>
        <w:rPr>
          <w:b/>
          <w:bCs/>
        </w:rPr>
        <w:t xml:space="preserve">Le projet est rentable.</w:t>
      </w:r>
    </w:p>
    <w:p>
      <w:pPr>
        <w:spacing w:after="60"/>
        <w:jc w:val="both"/>
      </w:pPr>
      <w:r>
        <w:rPr>
          <w:b/>
          <w:bCs/>
          <w:color w:val="E8571E"/>
        </w:rPr>
        <w:t xml:space="preserve">3. TRI</w:t>
      </w:r>
    </w:p>
    <w:p>
      <w:pPr>
        <w:spacing w:after="100"/>
        <w:jc w:val="both"/>
      </w:pPr>
      <w:r>
        <w:rPr/>
        <w:t xml:space="preserve">Par interpolation : VAN(15 %) = +92,2 k€ ; VAN(16 %) = −19,3 k€ → TRI = 15 % + 1 % × 92,2/(92,2 + 19,3) ≈ </w:t>
      </w:r>
      <w:r>
        <w:rPr>
          <w:b/>
          <w:bCs/>
        </w:rPr>
        <w:t xml:space="preserve">15,8 %</w:t>
      </w:r>
      <w:r>
        <w:rPr/>
        <w:t xml:space="preserve"> (valeur exacte 15,82 %).</w:t>
      </w:r>
    </w:p>
    <w:p>
      <w:pPr>
        <w:spacing w:after="120"/>
        <w:jc w:val="both"/>
      </w:pPr>
      <w:r>
        <w:rPr/>
        <w:t xml:space="preserve">TRI (15,8 %) &gt; coût du capital (12 %) : le projet est acceptable ; la marge de sécurité sur le taux est d’environ 3,8 points.</w:t>
      </w:r>
    </w:p>
    <w:p>
      <w:pPr>
        <w:spacing w:after="60"/>
        <w:jc w:val="both"/>
      </w:pPr>
      <w:r>
        <w:rPr>
          <w:b/>
          <w:bCs/>
          <w:color w:val="E8571E"/>
        </w:rPr>
        <w:t xml:space="preserve">4. Indice de profitabilité</w:t>
      </w:r>
    </w:p>
    <w:p>
      <w:pPr>
        <w:spacing w:after="120"/>
        <w:jc w:val="both"/>
      </w:pPr>
      <w:r>
        <w:rPr/>
        <w:t xml:space="preserve">IP = 1 + VAN/I₀ = 1 + 458,0/3 585 = </w:t>
      </w:r>
      <w:r>
        <w:rPr>
          <w:b/>
          <w:bCs/>
        </w:rPr>
        <w:t xml:space="preserve">1,128</w:t>
      </w:r>
      <w:r>
        <w:rPr/>
        <w:t xml:space="preserve">. Chaque euro investi en N génère 1,128 € de flux actualisés, soit 0,128 € de création de valeur. IP &gt; 1 : projet rentable. </w:t>
      </w:r>
      <w:r>
        <w:rPr>
          <w:i/>
          <w:iCs/>
        </w:rPr>
        <w:t xml:space="preserve">Remarque : </w:t>
      </w:r>
      <w:r>
        <w:rPr/>
        <w:t xml:space="preserve">si l’on intègre aussi le robot actualisé dans le capital investi (3 585 + 600/1,12² = 4 063 k€), IP ≈ 1,113 – la conclusion est inchangée.</w:t>
      </w:r>
    </w:p>
    <w:p>
      <w:pPr>
        <w:spacing w:after="60"/>
        <w:jc w:val="both"/>
      </w:pPr>
      <w:r>
        <w:rPr>
          <w:b/>
          <w:bCs/>
          <w:color w:val="E8571E"/>
        </w:rPr>
        <w:t xml:space="preserve">5. DRCI (Annexe 5)</w:t>
      </w:r>
    </w:p>
    <w:p>
      <w:pPr>
        <w:spacing w:after="100"/>
        <w:jc w:val="both"/>
      </w:pPr>
      <w:r>
        <w:rPr/>
        <w:t xml:space="preserve">Le cumul des FCF actualisés est de −883,9 k€ fin N+4 et devient positif (+458,0 k€) fin N+5. Par interpolation linéaire : DRCI = 4 + 883,9/1 342,0 = </w:t>
      </w:r>
      <w:r>
        <w:rPr>
          <w:b/>
          <w:bCs/>
        </w:rPr>
        <w:t xml:space="preserve">4,66 ans, soit environ 4 ans et 8 mois</w:t>
      </w:r>
      <w:r>
        <w:rPr/>
        <w:t xml:space="preserve">.</w:t>
      </w:r>
    </w:p>
    <w:p>
      <w:pPr>
        <w:spacing w:after="120"/>
        <w:jc w:val="both"/>
      </w:pPr>
      <w:r>
        <w:rPr/>
        <w:t xml:space="preserve">Le capital est récupéré, mais très tard, à moins d’un an et demi de la fin de l’horizon de 5 ans : le projet est rentable mais peu liquide et donc plus risqué.</w:t>
      </w:r>
    </w:p>
    <w:p>
      <w:pPr>
        <w:spacing w:after="60"/>
        <w:jc w:val="both"/>
      </w:pPr>
      <w:r>
        <w:rPr>
          <w:b/>
          <w:bCs/>
          <w:color w:val="E8571E"/>
        </w:rPr>
        <w:t xml:space="preserve">6. DRCI sans valeurs de cession ni récupération du BFR</w:t>
      </w:r>
    </w:p>
    <w:p>
      <w:pPr>
        <w:spacing w:after="100"/>
        <w:jc w:val="both"/>
      </w:pPr>
      <w:r>
        <w:rPr/>
        <w:t xml:space="preserve">On retire de N+5 la récupération du BFR (375) et les cessions nettes (225 + 525) : FCF N+5 = 1 240 k€, soit 1 240 × 0,5674 = 703,6 k€ actualisés. Cumul fin N+5 = −883,9 + 703,6 = </w:t>
      </w:r>
      <w:r>
        <w:rPr>
          <w:b/>
          <w:bCs/>
        </w:rPr>
        <w:t xml:space="preserve">−180,3 k€</w:t>
      </w:r>
      <w:r>
        <w:rPr/>
        <w:t xml:space="preserve">.</w:t>
      </w:r>
    </w:p>
    <w:p>
      <w:pPr>
        <w:spacing w:after="100"/>
        <w:jc w:val="both"/>
      </w:pPr>
      <w:r>
        <w:rPr>
          <w:b/>
          <w:bCs/>
        </w:rPr>
        <w:t xml:space="preserve">Le capital investi n’est jamais récupéré sur l’horizon de 5 ans</w:t>
      </w:r>
      <w:r>
        <w:rPr/>
        <w:t xml:space="preserve"> (DRCI &gt; 5 ans) et la VAN deviendrait négative (−180 k€).</w:t>
      </w:r>
    </w:p>
    <w:p>
      <w:pPr>
        <w:spacing w:after="120"/>
        <w:jc w:val="both"/>
      </w:pPr>
      <w:r>
        <w:rPr>
          <w:b/>
          <w:bCs/>
        </w:rPr>
        <w:t xml:space="preserve">Conclusion : </w:t>
      </w:r>
      <w:r>
        <w:rPr/>
        <w:t xml:space="preserve">la rentabilité du projet repose sur les flux de fin de projet (≈ 638 k€ actualisés, soit plus que la VAN de 458 k€). Ces flux sont incertains (valeur de marché du bâtiment, prix de revente de la ligne) : il faut fiabiliser ces estimations et mener une analyse de sensibilité. Ce DRCI recalculé montre que l’exploitation seule ne suffit pas, sur 5 ans, à rembourser l’investissement ; un horizon plus long (le bâtiment est amortissable sur 15 ans) serait aussi plus représentatif.</w:t>
      </w:r>
    </w:p>
    <w:p>
      <w:pPr>
        <w:spacing w:after="60"/>
        <w:jc w:val="both"/>
      </w:pPr>
      <w:r>
        <w:rPr>
          <w:b/>
          <w:bCs/>
          <w:color w:val="E8571E"/>
        </w:rPr>
        <w:t xml:space="preserve">7. VAN en omettant l’effet de cannibalisation</w:t>
      </w:r>
    </w:p>
    <w:p>
      <w:pPr>
        <w:spacing w:after="100"/>
        <w:jc w:val="both"/>
      </w:pPr>
      <w:r>
        <w:rPr/>
        <w:t xml:space="preserve">La perte de marge de 50 k€/an coûte, après impôt, 50 × (1 − 25 %) = 37,5 k€/an de N+1 à N+5. Valeur actuelle : 37,5 × [1 − 1,12⁻⁵]/0,12 = 37,5 × 3,6048 = 135,2 k€.</w:t>
      </w:r>
    </w:p>
    <w:p>
      <w:pPr>
        <w:spacing w:after="100"/>
        <w:jc w:val="both"/>
      </w:pPr>
      <w:r>
        <w:rPr/>
        <w:t xml:space="preserve">VAN sans cannibalisation = 458,0 + 135,2 = </w:t>
      </w:r>
      <w:r>
        <w:rPr>
          <w:b/>
          <w:bCs/>
        </w:rPr>
        <w:t xml:space="preserve">593,2 k€</w:t>
      </w:r>
      <w:r>
        <w:rPr/>
        <w:t xml:space="preserve"> (surévaluation d’environ 30 %).</w:t>
      </w:r>
    </w:p>
    <w:p>
      <w:pPr>
        <w:spacing w:after="120"/>
        <w:jc w:val="both"/>
      </w:pPr>
      <w:r>
        <w:rPr>
          <w:b/>
          <w:bCs/>
        </w:rPr>
        <w:t xml:space="preserve">Commentaire : </w:t>
      </w:r>
      <w:r>
        <w:rPr/>
        <w:t xml:space="preserve">omettre la cannibalisation viole le principe des flux différentiels : seuls comptent les flux supplémentaires générés par le projet pour l’ensemble de l’entreprise, y compris les marges perdues sur les produits existants. L’oubli conduirait à surestimer la création de valeur (et le TRI). Ici la décision d’investir reste la même (VAN &gt; 0 dans les deux cas), mais sur un projet plus marginal l’erreur pourrait faire accepter un projet destructeur de valeur.</w:t>
      </w:r>
    </w:p>
    <w:p>
      <w:pPr>
        <w:spacing w:after="200"/>
        <w:jc w:val="both"/>
      </w:pPr>
      <w:r>
        <w:rPr>
          <w:b/>
          <w:bCs/>
        </w:rPr>
        <w:t xml:space="preserve">Synthèse : </w:t>
      </w:r>
      <w:r>
        <w:rPr/>
        <w:t xml:space="preserve">VAN = +458 k€ ; TRI ≈ 15,8 % &gt; 12 % ; IP ≈ 1,13 ; DRCI ≈ 4 ans 8 mois. Le projet est rentable et peut être retenu, sous réserve de la fiabilité des valeurs de cession finales dont dépend une grande partie de sa rentabilité.</w:t>
      </w:r>
    </w:p>
    <w:p w14:paraId="2053FD5D" w14:textId="77777777" w:rsidR="00D618E2" w:rsidRDefault="00000000">
      <w:pPr>
        <w:pStyle w:val="Titre2"/>
        <w:keepNext/>
        <w:pBdr>
          <w:bottom w:val="single" w:sz="6" w:space="2" w:color="E8571E"/>
        </w:pBdr>
        <w:spacing w:before="280" w:after="120"/>
      </w:pPr>
      <w:r>
        <w:rPr>
          <w:b/>
          <w:bCs/>
          <w:color w:val="E8571E"/>
        </w:rPr>
        <w:t>Rappel des formules</w:t>
      </w:r>
    </w:p>
    <w:p w14:paraId="2053FD5E" w14:textId="77777777" w:rsidR="00D618E2" w:rsidRDefault="00000000">
      <w:pPr>
        <w:spacing w:after="120"/>
      </w:pPr>
      <w:r>
        <w:t>VAN = − I₀ + CF₁/(1+t) + CF₂/(1+t)² + … + CFₙ/(1+t)ⁿ</w:t>
      </w:r>
    </w:p>
    <w:p w14:paraId="2053FD5F" w14:textId="77777777" w:rsidR="00D618E2" w:rsidRDefault="00000000">
      <w:pPr>
        <w:spacing w:after="120"/>
      </w:pPr>
      <w:r>
        <w:t>TRI = valeur de t qui annule la VAN</w:t>
      </w:r>
    </w:p>
    <w:p w14:paraId="2053FD60" w14:textId="77777777" w:rsidR="00D618E2" w:rsidRDefault="00000000">
      <w:pPr>
        <w:spacing w:after="120"/>
      </w:pPr>
      <w:r>
        <w:t>IP = 1 + VAN / I₀</w:t>
      </w:r>
    </w:p>
    <w:sectPr w:rsidR="00D618E2">
      <w:footerReference w:type="default" r:id="rId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CABB46" w14:textId="77777777" w:rsidR="00E32362" w:rsidRDefault="00E32362">
      <w:r>
        <w:separator/>
      </w:r>
    </w:p>
  </w:endnote>
  <w:endnote w:type="continuationSeparator" w:id="0">
    <w:p w14:paraId="222528D9" w14:textId="77777777" w:rsidR="00E32362" w:rsidRDefault="00E323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3FD61" w14:textId="6996A4E9" w:rsidR="00D618E2" w:rsidRDefault="00000000">
    <w:pPr>
      <w:jc w:val="right"/>
    </w:pPr>
    <w:r>
      <w:rPr>
        <w:color w:val="808080"/>
        <w:sz w:val="18"/>
        <w:szCs w:val="18"/>
      </w:rPr>
      <w:t xml:space="preserve">Cas DURANCEL – </w:t>
    </w: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>PAGE</w:instrText>
    </w:r>
    <w:r>
      <w:rPr>
        <w:color w:val="808080"/>
        <w:sz w:val="18"/>
        <w:szCs w:val="18"/>
      </w:rPr>
      <w:fldChar w:fldCharType="separate"/>
    </w:r>
    <w:r w:rsidR="005C72C9">
      <w:rPr>
        <w:noProof/>
        <w:color w:val="808080"/>
        <w:sz w:val="18"/>
        <w:szCs w:val="18"/>
      </w:rPr>
      <w:t>1</w:t>
    </w:r>
    <w:r>
      <w:rPr>
        <w:color w:val="8080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CC1D31" w14:textId="77777777" w:rsidR="00E32362" w:rsidRDefault="00E32362">
      <w:r>
        <w:separator/>
      </w:r>
    </w:p>
  </w:footnote>
  <w:footnote w:type="continuationSeparator" w:id="0">
    <w:p w14:paraId="177B821E" w14:textId="77777777" w:rsidR="00E32362" w:rsidRDefault="00E3236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85822"/>
    <w:multiLevelType w:val="hybridMultilevel"/>
    <w:tmpl w:val="9B1271A8"/>
    <w:lvl w:ilvl="0" w:tplc="CB16939A">
      <w:start w:val="1"/>
      <w:numFmt w:val="bullet"/>
      <w:lvlText w:val="•"/>
      <w:lvlJc w:val="left"/>
      <w:pPr>
        <w:ind w:left="540" w:hanging="270"/>
      </w:pPr>
    </w:lvl>
    <w:lvl w:ilvl="1" w:tplc="04FE062A">
      <w:numFmt w:val="decimal"/>
      <w:lvlText w:val=""/>
      <w:lvlJc w:val="left"/>
    </w:lvl>
    <w:lvl w:ilvl="2" w:tplc="BFB65B10">
      <w:numFmt w:val="decimal"/>
      <w:lvlText w:val=""/>
      <w:lvlJc w:val="left"/>
    </w:lvl>
    <w:lvl w:ilvl="3" w:tplc="0D62BAB8">
      <w:numFmt w:val="decimal"/>
      <w:lvlText w:val=""/>
      <w:lvlJc w:val="left"/>
    </w:lvl>
    <w:lvl w:ilvl="4" w:tplc="AA8A1B76">
      <w:numFmt w:val="decimal"/>
      <w:lvlText w:val=""/>
      <w:lvlJc w:val="left"/>
    </w:lvl>
    <w:lvl w:ilvl="5" w:tplc="F0384318">
      <w:numFmt w:val="decimal"/>
      <w:lvlText w:val=""/>
      <w:lvlJc w:val="left"/>
    </w:lvl>
    <w:lvl w:ilvl="6" w:tplc="744AB822">
      <w:numFmt w:val="decimal"/>
      <w:lvlText w:val=""/>
      <w:lvlJc w:val="left"/>
    </w:lvl>
    <w:lvl w:ilvl="7" w:tplc="A25E8AD2">
      <w:numFmt w:val="decimal"/>
      <w:lvlText w:val=""/>
      <w:lvlJc w:val="left"/>
    </w:lvl>
    <w:lvl w:ilvl="8" w:tplc="FD8C9F00">
      <w:numFmt w:val="decimal"/>
      <w:lvlText w:val=""/>
      <w:lvlJc w:val="left"/>
    </w:lvl>
  </w:abstractNum>
  <w:abstractNum w:abstractNumId="1" w15:restartNumberingAfterBreak="0">
    <w:nsid w:val="50FA5013"/>
    <w:multiLevelType w:val="hybridMultilevel"/>
    <w:tmpl w:val="D74E4F16"/>
    <w:lvl w:ilvl="0" w:tplc="8FE00966" w:tentative="1">
      <w:start w:val="1"/>
      <w:numFmt w:val="bullet"/>
      <w:lvlText w:val="●"/>
      <w:lvlJc w:val="left"/>
      <w:pPr>
        <w:ind w:left="720" w:hanging="360"/>
      </w:pPr>
    </w:lvl>
    <w:lvl w:ilvl="1" w:tplc="FF5C3462" w:tentative="1">
      <w:start w:val="1"/>
      <w:numFmt w:val="bullet"/>
      <w:lvlText w:val="○"/>
      <w:lvlJc w:val="left"/>
      <w:pPr>
        <w:ind w:left="1440" w:hanging="360"/>
      </w:pPr>
    </w:lvl>
    <w:lvl w:ilvl="2" w:tplc="EF38F864" w:tentative="1">
      <w:start w:val="1"/>
      <w:numFmt w:val="bullet"/>
      <w:lvlText w:val="■"/>
      <w:lvlJc w:val="left"/>
      <w:pPr>
        <w:ind w:left="2160" w:hanging="360"/>
      </w:pPr>
    </w:lvl>
    <w:lvl w:ilvl="3" w:tplc="D1449732" w:tentative="1">
      <w:start w:val="1"/>
      <w:numFmt w:val="bullet"/>
      <w:lvlText w:val="●"/>
      <w:lvlJc w:val="left"/>
      <w:pPr>
        <w:ind w:left="2880" w:hanging="360"/>
      </w:pPr>
    </w:lvl>
    <w:lvl w:ilvl="4" w:tplc="E7043D38" w:tentative="1">
      <w:start w:val="1"/>
      <w:numFmt w:val="bullet"/>
      <w:lvlText w:val="○"/>
      <w:lvlJc w:val="left"/>
      <w:pPr>
        <w:ind w:left="3600" w:hanging="360"/>
      </w:pPr>
    </w:lvl>
    <w:lvl w:ilvl="5" w:tplc="E396B6EC" w:tentative="1">
      <w:start w:val="1"/>
      <w:numFmt w:val="bullet"/>
      <w:lvlText w:val="■"/>
      <w:lvlJc w:val="left"/>
      <w:pPr>
        <w:ind w:left="4320" w:hanging="360"/>
      </w:pPr>
    </w:lvl>
    <w:lvl w:ilvl="6" w:tplc="1CC4E588" w:tentative="1">
      <w:start w:val="1"/>
      <w:numFmt w:val="bullet"/>
      <w:lvlText w:val="●"/>
      <w:lvlJc w:val="left"/>
      <w:pPr>
        <w:ind w:left="5040" w:hanging="360"/>
      </w:pPr>
    </w:lvl>
    <w:lvl w:ilvl="7" w:tplc="43404D80" w:tentative="1">
      <w:start w:val="1"/>
      <w:numFmt w:val="bullet"/>
      <w:lvlText w:val="●"/>
      <w:lvlJc w:val="left"/>
      <w:pPr>
        <w:ind w:left="5760" w:hanging="360"/>
      </w:pPr>
    </w:lvl>
    <w:lvl w:ilvl="8" w:tplc="9CE462FC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AD60C10"/>
    <w:multiLevelType w:val="hybridMultilevel"/>
    <w:tmpl w:val="CF3CD5B0"/>
    <w:lvl w:ilvl="0" w:tplc="66B00E6A">
      <w:start w:val="1"/>
      <w:numFmt w:val="decimal"/>
      <w:lvlText w:val="%1."/>
      <w:lvlJc w:val="left"/>
      <w:pPr>
        <w:ind w:left="540" w:hanging="300"/>
      </w:pPr>
    </w:lvl>
    <w:lvl w:ilvl="1" w:tplc="69C2D770">
      <w:numFmt w:val="decimal"/>
      <w:lvlText w:val=""/>
      <w:lvlJc w:val="left"/>
    </w:lvl>
    <w:lvl w:ilvl="2" w:tplc="94388E2C">
      <w:numFmt w:val="decimal"/>
      <w:lvlText w:val=""/>
      <w:lvlJc w:val="left"/>
    </w:lvl>
    <w:lvl w:ilvl="3" w:tplc="B7DE4BE0">
      <w:numFmt w:val="decimal"/>
      <w:lvlText w:val=""/>
      <w:lvlJc w:val="left"/>
    </w:lvl>
    <w:lvl w:ilvl="4" w:tplc="6492D486">
      <w:numFmt w:val="decimal"/>
      <w:lvlText w:val=""/>
      <w:lvlJc w:val="left"/>
    </w:lvl>
    <w:lvl w:ilvl="5" w:tplc="AD1A6AB4">
      <w:numFmt w:val="decimal"/>
      <w:lvlText w:val=""/>
      <w:lvlJc w:val="left"/>
    </w:lvl>
    <w:lvl w:ilvl="6" w:tplc="E2766350">
      <w:numFmt w:val="decimal"/>
      <w:lvlText w:val=""/>
      <w:lvlJc w:val="left"/>
    </w:lvl>
    <w:lvl w:ilvl="7" w:tplc="8598B79C">
      <w:numFmt w:val="decimal"/>
      <w:lvlText w:val=""/>
      <w:lvlJc w:val="left"/>
    </w:lvl>
    <w:lvl w:ilvl="8" w:tplc="58701630">
      <w:numFmt w:val="decimal"/>
      <w:lvlText w:val=""/>
      <w:lvlJc w:val="left"/>
    </w:lvl>
  </w:abstractNum>
  <w:num w:numId="1" w16cid:durableId="1227566041">
    <w:abstractNumId w:val="1"/>
    <w:lvlOverride w:ilvl="0">
      <w:startOverride w:val="1"/>
    </w:lvlOverride>
  </w:num>
  <w:num w:numId="2" w16cid:durableId="2031683914">
    <w:abstractNumId w:val="0"/>
    <w:lvlOverride w:ilvl="0">
      <w:startOverride w:val="1"/>
    </w:lvlOverride>
  </w:num>
  <w:num w:numId="3" w16cid:durableId="2142724474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18E2"/>
    <w:rsid w:val="00182552"/>
    <w:rsid w:val="005C72C9"/>
    <w:rsid w:val="00D618E2"/>
    <w:rsid w:val="00E323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53FC1A"/>
  <w15:docId w15:val="{A0444E40-D4CD-4A49-A3D8-EE6B49A8E1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basedOn w:val="Normal"/>
    <w:next w:val="Normal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lev1">
    <w:name w:val="Élevé1"/>
    <w:basedOn w:val="Normal"/>
    <w:next w:val="Normal"/>
    <w:qFormat/>
    <w:rPr>
      <w:b/>
      <w:bCs/>
    </w:rPr>
  </w:style>
  <w:style w:type="paragraph" w:styleId="Paragraphedeliste">
    <w:name w:val="List Paragraph"/>
    <w:basedOn w:val="Normal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490</Words>
  <Characters>2699</Characters>
  <Application>Microsoft Office Word</Application>
  <DocSecurity>0</DocSecurity>
  <Lines>22</Lines>
  <Paragraphs>6</Paragraphs>
  <ScaleCrop>false</ScaleCrop>
  <Company/>
  <LinksUpToDate>false</LinksUpToDate>
  <CharactersWithSpaces>3183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 DURANCEL – Énoncé</dc:title>
  <dc:creator>ASOE</dc:creator>
  <cp:lastModifiedBy>jean-baptiste alvarez</cp:lastModifiedBy>
  <cp:revision>2</cp:revision>
  <dcterms:created xsi:type="dcterms:W3CDTF">2026-10-29T09:48:00Z</dcterms:created>
  <dcterms:modified xsi:type="dcterms:W3CDTF">2026-10-29T10:36:00Z</dcterms:modified>
</cp:coreProperties>
</file>