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BDB1" w14:textId="77777777" w:rsidR="00626557" w:rsidRPr="00626557" w:rsidRDefault="00626557" w:rsidP="00626557">
      <w:pPr>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626557">
        <w:rPr>
          <w:rFonts w:asciiTheme="majorBidi" w:eastAsia="Times New Roman" w:hAnsiTheme="majorBidi" w:cstheme="majorBidi"/>
          <w:b/>
          <w:bCs/>
          <w:kern w:val="36"/>
          <w:sz w:val="48"/>
          <w:szCs w:val="48"/>
          <w14:ligatures w14:val="none"/>
        </w:rPr>
        <w:t>Course Project Final Report</w:t>
      </w:r>
    </w:p>
    <w:p w14:paraId="63B9F0C9" w14:textId="313A9A3B"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Title:</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i/>
          <w:iCs/>
          <w:kern w:val="0"/>
          <w14:ligatures w14:val="none"/>
        </w:rPr>
        <w:t>Income and Liquor Spending Behavior Across Iowa Counties: A Data-Driven Policy Analysis</w:t>
      </w:r>
      <w:r w:rsidRPr="00626557">
        <w:rPr>
          <w:rFonts w:asciiTheme="majorBidi" w:eastAsia="Times New Roman" w:hAnsiTheme="majorBidi" w:cstheme="majorBidi"/>
          <w:kern w:val="0"/>
          <w14:ligatures w14:val="none"/>
        </w:rPr>
        <w:br/>
      </w:r>
      <w:r w:rsidRPr="00626557">
        <w:rPr>
          <w:rFonts w:asciiTheme="majorBidi" w:eastAsia="Times New Roman" w:hAnsiTheme="majorBidi" w:cstheme="majorBidi"/>
          <w:b/>
          <w:bCs/>
          <w:kern w:val="0"/>
          <w14:ligatures w14:val="none"/>
        </w:rPr>
        <w:t>Prepared by:</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i/>
          <w:iCs/>
          <w:kern w:val="0"/>
          <w14:ligatures w14:val="none"/>
        </w:rPr>
        <w:t>Shreyansh Budhia</w:t>
      </w:r>
      <w:r w:rsidRPr="00626557">
        <w:rPr>
          <w:rFonts w:asciiTheme="majorBidi" w:eastAsia="Times New Roman" w:hAnsiTheme="majorBidi" w:cstheme="majorBidi"/>
          <w:i/>
          <w:iCs/>
          <w:kern w:val="0"/>
          <w14:ligatures w14:val="none"/>
        </w:rPr>
        <w:t xml:space="preserve">, </w:t>
      </w:r>
      <w:r w:rsidRPr="00626557">
        <w:rPr>
          <w:rFonts w:asciiTheme="majorBidi" w:eastAsia="Times New Roman" w:hAnsiTheme="majorBidi" w:cstheme="majorBidi"/>
          <w:i/>
          <w:iCs/>
          <w:kern w:val="0"/>
          <w14:ligatures w14:val="none"/>
        </w:rPr>
        <w:t>William Brewster</w:t>
      </w:r>
      <w:r w:rsidRPr="00626557">
        <w:rPr>
          <w:rFonts w:asciiTheme="majorBidi" w:eastAsia="Times New Roman" w:hAnsiTheme="majorBidi" w:cstheme="majorBidi"/>
          <w:kern w:val="0"/>
          <w14:ligatures w14:val="none"/>
        </w:rPr>
        <w:t xml:space="preserve">, and </w:t>
      </w:r>
      <w:r w:rsidRPr="00626557">
        <w:rPr>
          <w:rFonts w:asciiTheme="majorBidi" w:eastAsia="Times New Roman" w:hAnsiTheme="majorBidi" w:cstheme="majorBidi"/>
          <w:i/>
          <w:iCs/>
          <w:kern w:val="0"/>
          <w14:ligatures w14:val="none"/>
        </w:rPr>
        <w:t>Ramzi Nia</w:t>
      </w:r>
    </w:p>
    <w:p w14:paraId="1C45B483"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1. Introduction (5 pts)</w:t>
      </w:r>
    </w:p>
    <w:p w14:paraId="392ABC37" w14:textId="1F52EAE0"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Our analysis was conducted for a </w:t>
      </w:r>
      <w:r w:rsidRPr="00626557">
        <w:rPr>
          <w:rFonts w:asciiTheme="majorBidi" w:eastAsia="Times New Roman" w:hAnsiTheme="majorBidi" w:cstheme="majorBidi"/>
          <w:b/>
          <w:bCs/>
          <w:kern w:val="0"/>
          <w14:ligatures w14:val="none"/>
        </w:rPr>
        <w:t>state-level public policy decision maker in Iowa</w:t>
      </w:r>
      <w:r w:rsidRPr="00626557">
        <w:rPr>
          <w:rFonts w:asciiTheme="majorBidi" w:eastAsia="Times New Roman" w:hAnsiTheme="majorBidi" w:cstheme="majorBidi"/>
          <w:kern w:val="0"/>
          <w14:ligatures w14:val="none"/>
        </w:rPr>
        <w:t xml:space="preserve">, such as the Iowa Department of Public. These organizations operate in a decision environment that balances </w:t>
      </w:r>
      <w:r w:rsidRPr="00626557">
        <w:rPr>
          <w:rFonts w:asciiTheme="majorBidi" w:eastAsia="Times New Roman" w:hAnsiTheme="majorBidi" w:cstheme="majorBidi"/>
          <w:b/>
          <w:bCs/>
          <w:kern w:val="0"/>
          <w14:ligatures w14:val="none"/>
        </w:rPr>
        <w:t>economic revenue generation</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b/>
          <w:bCs/>
          <w:kern w:val="0"/>
          <w14:ligatures w14:val="none"/>
        </w:rPr>
        <w:t>public health concerns</w:t>
      </w:r>
      <w:r w:rsidRPr="00626557">
        <w:rPr>
          <w:rFonts w:asciiTheme="majorBidi" w:eastAsia="Times New Roman" w:hAnsiTheme="majorBidi" w:cstheme="majorBidi"/>
          <w:kern w:val="0"/>
          <w14:ligatures w14:val="none"/>
        </w:rPr>
        <w:t xml:space="preserve">, and </w:t>
      </w:r>
      <w:r w:rsidRPr="00626557">
        <w:rPr>
          <w:rFonts w:asciiTheme="majorBidi" w:eastAsia="Times New Roman" w:hAnsiTheme="majorBidi" w:cstheme="majorBidi"/>
          <w:b/>
          <w:bCs/>
          <w:kern w:val="0"/>
          <w14:ligatures w14:val="none"/>
        </w:rPr>
        <w:t>community well-being</w:t>
      </w:r>
      <w:r w:rsidRPr="00626557">
        <w:rPr>
          <w:rFonts w:asciiTheme="majorBidi" w:eastAsia="Times New Roman" w:hAnsiTheme="majorBidi" w:cstheme="majorBidi"/>
          <w:kern w:val="0"/>
          <w14:ligatures w14:val="none"/>
        </w:rPr>
        <w:t>. Liquor sales represent a major source of state revenue, but alcohol consumption is also associated with long-term public health and social costs.</w:t>
      </w:r>
    </w:p>
    <w:p w14:paraId="37834D6B"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broader decision climate is influenced by:</w:t>
      </w:r>
    </w:p>
    <w:p w14:paraId="433DC7A1"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Rising healthcare expenditures,</w:t>
      </w:r>
    </w:p>
    <w:p w14:paraId="3420497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concerns over substance abuse,</w:t>
      </w:r>
    </w:p>
    <w:p w14:paraId="55AE921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debates over how alcohol access and taxation should be structured across income groups and geographic regions.</w:t>
      </w:r>
    </w:p>
    <w:p w14:paraId="2526BFD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Research Question</w:t>
      </w:r>
    </w:p>
    <w:p w14:paraId="5A99716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Is there a meaningful relationship between median household income and liquor spending per capita across Iowa counties?</w:t>
      </w:r>
    </w:p>
    <w:p w14:paraId="4B9FF992"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Relevance</w:t>
      </w:r>
    </w:p>
    <w:p w14:paraId="533633A0"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Understanding whether higher-income counties consume more alcohol on a per-person basis helps decision makers:</w:t>
      </w:r>
    </w:p>
    <w:p w14:paraId="616755F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Evaluate the </w:t>
      </w:r>
      <w:r w:rsidRPr="00626557">
        <w:rPr>
          <w:rFonts w:asciiTheme="majorBidi" w:eastAsia="Times New Roman" w:hAnsiTheme="majorBidi" w:cstheme="majorBidi"/>
          <w:b/>
          <w:bCs/>
          <w:kern w:val="0"/>
          <w14:ligatures w14:val="none"/>
        </w:rPr>
        <w:t>equity of alcohol taxation policies</w:t>
      </w:r>
      <w:r w:rsidRPr="00626557">
        <w:rPr>
          <w:rFonts w:asciiTheme="majorBidi" w:eastAsia="Times New Roman" w:hAnsiTheme="majorBidi" w:cstheme="majorBidi"/>
          <w:kern w:val="0"/>
          <w14:ligatures w14:val="none"/>
        </w:rPr>
        <w:t>,</w:t>
      </w:r>
    </w:p>
    <w:p w14:paraId="5458F01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Identify whether alcohol consumption burdens fall disproportionately on certain income groups,</w:t>
      </w:r>
    </w:p>
    <w:p w14:paraId="72FE9D2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determine where </w:t>
      </w:r>
      <w:r w:rsidRPr="00626557">
        <w:rPr>
          <w:rFonts w:asciiTheme="majorBidi" w:eastAsia="Times New Roman" w:hAnsiTheme="majorBidi" w:cstheme="majorBidi"/>
          <w:b/>
          <w:bCs/>
          <w:kern w:val="0"/>
          <w14:ligatures w14:val="none"/>
        </w:rPr>
        <w:t>education, prevention, or regulatory resources</w:t>
      </w:r>
      <w:r w:rsidRPr="00626557">
        <w:rPr>
          <w:rFonts w:asciiTheme="majorBidi" w:eastAsia="Times New Roman" w:hAnsiTheme="majorBidi" w:cstheme="majorBidi"/>
          <w:kern w:val="0"/>
          <w14:ligatures w14:val="none"/>
        </w:rPr>
        <w:t xml:space="preserve"> should be targeted.</w:t>
      </w:r>
    </w:p>
    <w:p w14:paraId="2CDEFCD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Policy decisions based on this analysis affect:</w:t>
      </w:r>
    </w:p>
    <w:p w14:paraId="019695B5"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State revenue collection,</w:t>
      </w:r>
    </w:p>
    <w:p w14:paraId="08F9ECD1"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health planning,</w:t>
      </w:r>
    </w:p>
    <w:p w14:paraId="76FEB9E8"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long-term community outcomes related to alcohol misuse.</w:t>
      </w:r>
    </w:p>
    <w:p w14:paraId="252EF687" w14:textId="7331C8C5" w:rsidR="00626557" w:rsidRPr="00626557" w:rsidRDefault="00626557" w:rsidP="00626557">
      <w:pPr>
        <w:spacing w:after="0" w:line="240" w:lineRule="auto"/>
        <w:rPr>
          <w:rFonts w:asciiTheme="majorBidi" w:eastAsia="Times New Roman" w:hAnsiTheme="majorBidi" w:cstheme="majorBidi"/>
          <w:kern w:val="0"/>
          <w14:ligatures w14:val="none"/>
        </w:rPr>
      </w:pPr>
    </w:p>
    <w:p w14:paraId="15B450DE"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lastRenderedPageBreak/>
        <w:t>2. Data Summary (5 pts)</w:t>
      </w:r>
    </w:p>
    <w:p w14:paraId="79E8AB44" w14:textId="77777777" w:rsidR="000F7CE6"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This study integrates two primary datasets covering all 99 Iowa counties. The liquor sales dataset (2020) reports total sales revenue, product category, and sales volume at the county level. The American Community Survey dataset (2019) provides median household income and population by county. The final merged dataset contains observations for all 99 counties.</w:t>
      </w:r>
    </w:p>
    <w:p w14:paraId="6DFF4F01" w14:textId="77777777" w:rsidR="000F7CE6" w:rsidRPr="00626557"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Each observation represents aggregated sales for a specific product category within a county. Because counties vary widely in population size, direct comparison of total sales alone would introduce </w:t>
      </w:r>
      <w:r w:rsidRPr="00626557">
        <w:rPr>
          <w:rFonts w:asciiTheme="majorBidi" w:eastAsia="Times New Roman" w:hAnsiTheme="majorBidi" w:cstheme="majorBidi"/>
          <w:b/>
          <w:bCs/>
          <w:kern w:val="0"/>
          <w14:ligatures w14:val="none"/>
        </w:rPr>
        <w:t>population bias</w:t>
      </w:r>
      <w:r w:rsidRPr="00626557">
        <w:rPr>
          <w:rFonts w:asciiTheme="majorBidi" w:eastAsia="Times New Roman" w:hAnsiTheme="majorBidi" w:cstheme="majorBidi"/>
          <w:kern w:val="0"/>
          <w14:ligatures w14:val="none"/>
        </w:rPr>
        <w:t>.</w:t>
      </w:r>
    </w:p>
    <w:p w14:paraId="418F147D" w14:textId="73AE0F74"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Liquor Sales Dataset (2020)</w:t>
      </w:r>
    </w:p>
    <w:p w14:paraId="2911CFF6"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dataset contains county-level liquor sales information broken down by product category. Key variables include:</w:t>
      </w:r>
    </w:p>
    <w:p w14:paraId="6FA335C6"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990 transaction-level observations</w:t>
      </w:r>
    </w:p>
    <w:p w14:paraId="792B9572"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Key fields:</w:t>
      </w:r>
    </w:p>
    <w:p w14:paraId="28A1D4AF" w14:textId="51AB6F91" w:rsidR="000F7CE6" w:rsidRPr="00D32200" w:rsidRDefault="000F7CE6"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w:t>
      </w:r>
      <w:r w:rsidR="00626557" w:rsidRPr="00D32200">
        <w:rPr>
          <w:rFonts w:asciiTheme="majorBidi" w:eastAsia="Times New Roman" w:hAnsiTheme="majorBidi" w:cstheme="majorBidi"/>
          <w:kern w:val="0"/>
          <w14:ligatures w14:val="none"/>
        </w:rPr>
        <w:t>ounty</w:t>
      </w:r>
    </w:p>
    <w:p w14:paraId="5B299B9A"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sale.dollars</w:t>
      </w:r>
    </w:p>
    <w:p w14:paraId="0B3DCCC2"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sale.volume</w:t>
      </w:r>
    </w:p>
    <w:p w14:paraId="68671A31" w14:textId="6B969778" w:rsidR="00626557"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category</w:t>
      </w:r>
    </w:p>
    <w:p w14:paraId="6F482C57"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American Community Survey Dataset (2019)</w:t>
      </w:r>
    </w:p>
    <w:p w14:paraId="3ED9FD31"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ACS dataset provides socioeconomic indicators at the county level. Variables used include:</w:t>
      </w:r>
    </w:p>
    <w:p w14:paraId="0ECD74E2"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99 Iowa counties</w:t>
      </w:r>
    </w:p>
    <w:p w14:paraId="53A24C49"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Key fields:</w:t>
      </w:r>
    </w:p>
    <w:p w14:paraId="00EB6FEE"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income (median household income)</w:t>
      </w:r>
    </w:p>
    <w:p w14:paraId="17DF9F2B"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population</w:t>
      </w:r>
    </w:p>
    <w:p w14:paraId="4036691C" w14:textId="49533330" w:rsidR="00D32200" w:rsidRP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Education, unemployment, and demographic population shares</w:t>
      </w:r>
    </w:p>
    <w:p w14:paraId="674E0953" w14:textId="78E9E938" w:rsidR="00626557" w:rsidRPr="00626557" w:rsidRDefault="00626557" w:rsidP="00D32200">
      <w:pPr>
        <w:spacing w:before="100" w:beforeAutospacing="1" w:after="100" w:afterAutospacing="1" w:line="240" w:lineRule="auto"/>
        <w:rPr>
          <w:rFonts w:asciiTheme="majorBidi" w:eastAsia="Times New Roman" w:hAnsiTheme="majorBidi" w:cstheme="majorBidi"/>
          <w:kern w:val="0"/>
          <w14:ligatures w14:val="none"/>
        </w:rPr>
      </w:pPr>
    </w:p>
    <w:p w14:paraId="42BC02D6"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773AB08"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F3955B1"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45928C2"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612428B"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38FA257C" w14:textId="7B7D6ED8" w:rsidR="000F7CE6" w:rsidRDefault="000F7CE6"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0F7CE6">
        <w:rPr>
          <w:rFonts w:asciiTheme="majorBidi" w:eastAsia="Times New Roman" w:hAnsiTheme="majorBidi" w:cstheme="majorBidi"/>
          <w:b/>
          <w:bCs/>
          <w:kern w:val="0"/>
          <w:sz w:val="27"/>
          <w:szCs w:val="27"/>
          <w14:ligatures w14:val="none"/>
        </w:rPr>
        <w:lastRenderedPageBreak/>
        <w:t>Table 1. Core Descriptive Statistics for Key Variables</w:t>
      </w:r>
    </w:p>
    <w:tbl>
      <w:tblPr>
        <w:tblStyle w:val="TableGrid"/>
        <w:tblpPr w:leftFromText="180" w:rightFromText="180" w:vertAnchor="page" w:horzAnchor="margin" w:tblpY="2324"/>
        <w:tblW w:w="9350" w:type="dxa"/>
        <w:tblLook w:val="04A0" w:firstRow="1" w:lastRow="0" w:firstColumn="1" w:lastColumn="0" w:noHBand="0" w:noVBand="1"/>
      </w:tblPr>
      <w:tblGrid>
        <w:gridCol w:w="1870"/>
        <w:gridCol w:w="1870"/>
        <w:gridCol w:w="1870"/>
        <w:gridCol w:w="1870"/>
        <w:gridCol w:w="1870"/>
      </w:tblGrid>
      <w:tr w:rsidR="00D32200" w14:paraId="4191C0CF" w14:textId="77777777" w:rsidTr="00D32200">
        <w:tc>
          <w:tcPr>
            <w:tcW w:w="1870" w:type="dxa"/>
          </w:tcPr>
          <w:p w14:paraId="541E456D"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Variable</w:t>
            </w:r>
          </w:p>
        </w:tc>
        <w:tc>
          <w:tcPr>
            <w:tcW w:w="1870" w:type="dxa"/>
          </w:tcPr>
          <w:p w14:paraId="285A380C"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Mean</w:t>
            </w:r>
          </w:p>
        </w:tc>
        <w:tc>
          <w:tcPr>
            <w:tcW w:w="1870" w:type="dxa"/>
          </w:tcPr>
          <w:p w14:paraId="2824E8D8"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Median</w:t>
            </w:r>
          </w:p>
        </w:tc>
        <w:tc>
          <w:tcPr>
            <w:tcW w:w="1870" w:type="dxa"/>
          </w:tcPr>
          <w:p w14:paraId="2B05810F"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Minimum</w:t>
            </w:r>
          </w:p>
        </w:tc>
        <w:tc>
          <w:tcPr>
            <w:tcW w:w="1870" w:type="dxa"/>
          </w:tcPr>
          <w:p w14:paraId="0D34E715"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Maximum</w:t>
            </w:r>
          </w:p>
        </w:tc>
      </w:tr>
      <w:tr w:rsidR="00D32200" w14:paraId="40DB1816" w14:textId="77777777" w:rsidTr="00D32200">
        <w:tc>
          <w:tcPr>
            <w:tcW w:w="1870" w:type="dxa"/>
          </w:tcPr>
          <w:p w14:paraId="0F9E972D"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Median Household Income ($)</w:t>
            </w:r>
          </w:p>
        </w:tc>
        <w:tc>
          <w:tcPr>
            <w:tcW w:w="1870" w:type="dxa"/>
          </w:tcPr>
          <w:p w14:paraId="521A41E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29,981.98</w:t>
            </w:r>
          </w:p>
        </w:tc>
        <w:tc>
          <w:tcPr>
            <w:tcW w:w="1870" w:type="dxa"/>
          </w:tcPr>
          <w:p w14:paraId="545E5F3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30,253.50</w:t>
            </w:r>
          </w:p>
        </w:tc>
        <w:tc>
          <w:tcPr>
            <w:tcW w:w="1870" w:type="dxa"/>
          </w:tcPr>
          <w:p w14:paraId="4377418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18,959.00</w:t>
            </w:r>
          </w:p>
        </w:tc>
        <w:tc>
          <w:tcPr>
            <w:tcW w:w="1870" w:type="dxa"/>
          </w:tcPr>
          <w:p w14:paraId="5118D61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43,120.00</w:t>
            </w:r>
          </w:p>
        </w:tc>
      </w:tr>
      <w:tr w:rsidR="00D32200" w14:paraId="1758537C" w14:textId="77777777" w:rsidTr="00D32200">
        <w:tc>
          <w:tcPr>
            <w:tcW w:w="1870" w:type="dxa"/>
          </w:tcPr>
          <w:p w14:paraId="3037E00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Population</w:t>
            </w:r>
          </w:p>
        </w:tc>
        <w:tc>
          <w:tcPr>
            <w:tcW w:w="1870" w:type="dxa"/>
          </w:tcPr>
          <w:p w14:paraId="6A99624C"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31,556.47</w:t>
            </w:r>
          </w:p>
        </w:tc>
        <w:tc>
          <w:tcPr>
            <w:tcW w:w="1870" w:type="dxa"/>
          </w:tcPr>
          <w:p w14:paraId="195CF8F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15,606.50</w:t>
            </w:r>
          </w:p>
        </w:tc>
        <w:tc>
          <w:tcPr>
            <w:tcW w:w="1870" w:type="dxa"/>
          </w:tcPr>
          <w:p w14:paraId="1EC70EA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3,822.00</w:t>
            </w:r>
          </w:p>
        </w:tc>
        <w:tc>
          <w:tcPr>
            <w:tcW w:w="1870" w:type="dxa"/>
          </w:tcPr>
          <w:p w14:paraId="5589824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459,159.00</w:t>
            </w:r>
          </w:p>
        </w:tc>
      </w:tr>
      <w:tr w:rsidR="00D32200" w14:paraId="405AD856" w14:textId="77777777" w:rsidTr="00D32200">
        <w:tc>
          <w:tcPr>
            <w:tcW w:w="1870" w:type="dxa"/>
          </w:tcPr>
          <w:p w14:paraId="3287868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Total Liquor Sales ($)</w:t>
            </w:r>
          </w:p>
        </w:tc>
        <w:tc>
          <w:tcPr>
            <w:tcW w:w="1870" w:type="dxa"/>
          </w:tcPr>
          <w:p w14:paraId="1440B1A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2,680,881.68</w:t>
            </w:r>
          </w:p>
        </w:tc>
        <w:tc>
          <w:tcPr>
            <w:tcW w:w="1870" w:type="dxa"/>
          </w:tcPr>
          <w:p w14:paraId="10EC0786"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782,309.50</w:t>
            </w:r>
          </w:p>
        </w:tc>
        <w:tc>
          <w:tcPr>
            <w:tcW w:w="1870" w:type="dxa"/>
          </w:tcPr>
          <w:p w14:paraId="49E9477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25,053.00</w:t>
            </w:r>
          </w:p>
        </w:tc>
        <w:tc>
          <w:tcPr>
            <w:tcW w:w="1870" w:type="dxa"/>
          </w:tcPr>
          <w:p w14:paraId="15678B6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61,059,636.00</w:t>
            </w:r>
          </w:p>
        </w:tc>
      </w:tr>
      <w:tr w:rsidR="00D32200" w14:paraId="338A1853" w14:textId="77777777" w:rsidTr="00D32200">
        <w:tc>
          <w:tcPr>
            <w:tcW w:w="1870" w:type="dxa"/>
          </w:tcPr>
          <w:p w14:paraId="782A3BBF"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Liquor Dollars Per Capita ($)</w:t>
            </w:r>
          </w:p>
        </w:tc>
        <w:tc>
          <w:tcPr>
            <w:tcW w:w="1870" w:type="dxa"/>
          </w:tcPr>
          <w:p w14:paraId="07430CC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58.50</w:t>
            </w:r>
          </w:p>
        </w:tc>
        <w:tc>
          <w:tcPr>
            <w:tcW w:w="1870" w:type="dxa"/>
          </w:tcPr>
          <w:p w14:paraId="324E8BB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55.61</w:t>
            </w:r>
          </w:p>
        </w:tc>
        <w:tc>
          <w:tcPr>
            <w:tcW w:w="1870" w:type="dxa"/>
          </w:tcPr>
          <w:p w14:paraId="0A526EE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3.57</w:t>
            </w:r>
          </w:p>
        </w:tc>
        <w:tc>
          <w:tcPr>
            <w:tcW w:w="1870" w:type="dxa"/>
          </w:tcPr>
          <w:p w14:paraId="1776619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220.83</w:t>
            </w:r>
          </w:p>
        </w:tc>
      </w:tr>
    </w:tbl>
    <w:p w14:paraId="10495466" w14:textId="77777777" w:rsidR="000F7CE6" w:rsidRDefault="000F7CE6" w:rsidP="000F7CE6">
      <w:pPr>
        <w:rPr>
          <w:b/>
          <w:bCs/>
        </w:rPr>
      </w:pPr>
    </w:p>
    <w:p w14:paraId="501D5C1A" w14:textId="77777777" w:rsidR="00D32200" w:rsidRDefault="00D32200" w:rsidP="000F7CE6">
      <w:pPr>
        <w:rPr>
          <w:b/>
          <w:bCs/>
        </w:rPr>
      </w:pPr>
    </w:p>
    <w:p w14:paraId="6ED4BC4B" w14:textId="4095DBC8" w:rsidR="000F7CE6" w:rsidRPr="000F7CE6" w:rsidRDefault="000F7CE6" w:rsidP="000F7CE6">
      <w:pPr>
        <w:rPr>
          <w:b/>
          <w:bCs/>
        </w:rPr>
      </w:pPr>
      <w:r w:rsidRPr="000F7CE6">
        <w:rPr>
          <w:b/>
          <w:bCs/>
        </w:rPr>
        <w:t>Table 2. Distribution Detail (10th, 25th, 75th, 90th Percentiles)</w:t>
      </w:r>
    </w:p>
    <w:tbl>
      <w:tblPr>
        <w:tblStyle w:val="TableGrid"/>
        <w:tblW w:w="10798" w:type="dxa"/>
        <w:tblInd w:w="-725" w:type="dxa"/>
        <w:tblLook w:val="04A0" w:firstRow="1" w:lastRow="0" w:firstColumn="1" w:lastColumn="0" w:noHBand="0" w:noVBand="1"/>
      </w:tblPr>
      <w:tblGrid>
        <w:gridCol w:w="1839"/>
        <w:gridCol w:w="1843"/>
        <w:gridCol w:w="1843"/>
        <w:gridCol w:w="1843"/>
        <w:gridCol w:w="1854"/>
        <w:gridCol w:w="1576"/>
      </w:tblGrid>
      <w:tr w:rsidR="000F7CE6" w:rsidRPr="000F7CE6" w14:paraId="67B56438" w14:textId="72A74AEC" w:rsidTr="000F7CE6">
        <w:tc>
          <w:tcPr>
            <w:tcW w:w="1839" w:type="dxa"/>
          </w:tcPr>
          <w:p w14:paraId="35248411" w14:textId="67074672" w:rsidR="000F7CE6" w:rsidRPr="000F7CE6" w:rsidRDefault="000F7CE6" w:rsidP="000F7CE6">
            <w:pPr>
              <w:rPr>
                <w:b/>
                <w:bCs/>
              </w:rPr>
            </w:pPr>
            <w:r w:rsidRPr="000F7CE6">
              <w:rPr>
                <w:b/>
                <w:bCs/>
              </w:rPr>
              <w:t>Variable</w:t>
            </w:r>
          </w:p>
        </w:tc>
        <w:tc>
          <w:tcPr>
            <w:tcW w:w="1843" w:type="dxa"/>
          </w:tcPr>
          <w:p w14:paraId="54EB6028" w14:textId="1D26795B" w:rsidR="000F7CE6" w:rsidRPr="000F7CE6" w:rsidRDefault="000F7CE6" w:rsidP="000F7CE6">
            <w:pPr>
              <w:rPr>
                <w:b/>
                <w:bCs/>
              </w:rPr>
            </w:pPr>
            <w:r w:rsidRPr="000F7CE6">
              <w:rPr>
                <w:b/>
                <w:bCs/>
              </w:rPr>
              <w:t>10%</w:t>
            </w:r>
          </w:p>
        </w:tc>
        <w:tc>
          <w:tcPr>
            <w:tcW w:w="1843" w:type="dxa"/>
          </w:tcPr>
          <w:p w14:paraId="64D4D285" w14:textId="680A47C9" w:rsidR="000F7CE6" w:rsidRPr="000F7CE6" w:rsidRDefault="000F7CE6" w:rsidP="000F7CE6">
            <w:pPr>
              <w:rPr>
                <w:b/>
                <w:bCs/>
              </w:rPr>
            </w:pPr>
            <w:r w:rsidRPr="000F7CE6">
              <w:rPr>
                <w:b/>
                <w:bCs/>
              </w:rPr>
              <w:t>25%</w:t>
            </w:r>
          </w:p>
        </w:tc>
        <w:tc>
          <w:tcPr>
            <w:tcW w:w="1843" w:type="dxa"/>
          </w:tcPr>
          <w:p w14:paraId="539D190C" w14:textId="6D70DEE8" w:rsidR="000F7CE6" w:rsidRPr="000F7CE6" w:rsidRDefault="000F7CE6" w:rsidP="000F7CE6">
            <w:pPr>
              <w:rPr>
                <w:b/>
                <w:bCs/>
              </w:rPr>
            </w:pPr>
            <w:r w:rsidRPr="000F7CE6">
              <w:rPr>
                <w:b/>
                <w:bCs/>
              </w:rPr>
              <w:t>Median</w:t>
            </w:r>
          </w:p>
        </w:tc>
        <w:tc>
          <w:tcPr>
            <w:tcW w:w="1854" w:type="dxa"/>
          </w:tcPr>
          <w:p w14:paraId="4CD6CE4E" w14:textId="1E2451E9" w:rsidR="000F7CE6" w:rsidRPr="000F7CE6" w:rsidRDefault="000F7CE6" w:rsidP="000F7CE6">
            <w:pPr>
              <w:rPr>
                <w:b/>
                <w:bCs/>
              </w:rPr>
            </w:pPr>
            <w:r w:rsidRPr="000F7CE6">
              <w:rPr>
                <w:b/>
                <w:bCs/>
              </w:rPr>
              <w:t>75%</w:t>
            </w:r>
          </w:p>
        </w:tc>
        <w:tc>
          <w:tcPr>
            <w:tcW w:w="1576" w:type="dxa"/>
          </w:tcPr>
          <w:p w14:paraId="16F24329" w14:textId="72671336" w:rsidR="000F7CE6" w:rsidRPr="000F7CE6" w:rsidRDefault="000F7CE6" w:rsidP="000F7CE6">
            <w:pPr>
              <w:rPr>
                <w:b/>
                <w:bCs/>
              </w:rPr>
            </w:pPr>
            <w:r w:rsidRPr="000F7CE6">
              <w:rPr>
                <w:b/>
                <w:bCs/>
              </w:rPr>
              <w:t>90%</w:t>
            </w:r>
          </w:p>
        </w:tc>
      </w:tr>
      <w:tr w:rsidR="000F7CE6" w14:paraId="746F84FA" w14:textId="7758E7F7" w:rsidTr="000F7CE6">
        <w:tc>
          <w:tcPr>
            <w:tcW w:w="1839" w:type="dxa"/>
          </w:tcPr>
          <w:p w14:paraId="34D2A909" w14:textId="15A540EC" w:rsidR="000F7CE6" w:rsidRDefault="000F7CE6" w:rsidP="000F7CE6">
            <w:r>
              <w:t>Income ($)</w:t>
            </w:r>
          </w:p>
        </w:tc>
        <w:tc>
          <w:tcPr>
            <w:tcW w:w="1843" w:type="dxa"/>
          </w:tcPr>
          <w:p w14:paraId="10AB9F4E" w14:textId="7FB86B82" w:rsidR="000F7CE6" w:rsidRDefault="000F7CE6" w:rsidP="000F7CE6">
            <w:r>
              <w:t>26,692.00</w:t>
            </w:r>
          </w:p>
        </w:tc>
        <w:tc>
          <w:tcPr>
            <w:tcW w:w="1843" w:type="dxa"/>
          </w:tcPr>
          <w:p w14:paraId="230B2F6E" w14:textId="610148E5" w:rsidR="000F7CE6" w:rsidRDefault="000F7CE6" w:rsidP="000F7CE6">
            <w:r>
              <w:t>27,907.75</w:t>
            </w:r>
          </w:p>
        </w:tc>
        <w:tc>
          <w:tcPr>
            <w:tcW w:w="1843" w:type="dxa"/>
          </w:tcPr>
          <w:p w14:paraId="7F275C5C" w14:textId="09565DF9" w:rsidR="000F7CE6" w:rsidRDefault="000F7CE6" w:rsidP="000F7CE6">
            <w:r>
              <w:t>30,253.50</w:t>
            </w:r>
          </w:p>
        </w:tc>
        <w:tc>
          <w:tcPr>
            <w:tcW w:w="1854" w:type="dxa"/>
          </w:tcPr>
          <w:p w14:paraId="240F279D" w14:textId="515FD8B2" w:rsidR="000F7CE6" w:rsidRDefault="000F7CE6" w:rsidP="000F7CE6">
            <w:r>
              <w:t>31,374.00</w:t>
            </w:r>
          </w:p>
        </w:tc>
        <w:tc>
          <w:tcPr>
            <w:tcW w:w="1576" w:type="dxa"/>
          </w:tcPr>
          <w:p w14:paraId="28C7D78F" w14:textId="65090A31" w:rsidR="000F7CE6" w:rsidRDefault="000F7CE6" w:rsidP="000F7CE6">
            <w:r>
              <w:t>33,219.00</w:t>
            </w:r>
          </w:p>
        </w:tc>
      </w:tr>
      <w:tr w:rsidR="000F7CE6" w14:paraId="2CD6A1ED" w14:textId="26D8D85D" w:rsidTr="000F7CE6">
        <w:tc>
          <w:tcPr>
            <w:tcW w:w="1839" w:type="dxa"/>
          </w:tcPr>
          <w:p w14:paraId="754D6DF1" w14:textId="2902DBC1" w:rsidR="000F7CE6" w:rsidRDefault="000F7CE6" w:rsidP="000F7CE6">
            <w:r>
              <w:t>Population</w:t>
            </w:r>
          </w:p>
        </w:tc>
        <w:tc>
          <w:tcPr>
            <w:tcW w:w="1843" w:type="dxa"/>
          </w:tcPr>
          <w:p w14:paraId="367FB1F5" w14:textId="6DB53A93" w:rsidR="000F7CE6" w:rsidRDefault="000F7CE6" w:rsidP="000F7CE6">
            <w:r>
              <w:t>7,365.00</w:t>
            </w:r>
          </w:p>
        </w:tc>
        <w:tc>
          <w:tcPr>
            <w:tcW w:w="1843" w:type="dxa"/>
          </w:tcPr>
          <w:p w14:paraId="5BDAE423" w14:textId="5C9513D5" w:rsidR="000F7CE6" w:rsidRDefault="000F7CE6" w:rsidP="000F7CE6">
            <w:r>
              <w:t>10,084.00</w:t>
            </w:r>
          </w:p>
        </w:tc>
        <w:tc>
          <w:tcPr>
            <w:tcW w:w="1843" w:type="dxa"/>
          </w:tcPr>
          <w:p w14:paraId="776EEE46" w14:textId="5E26CB16" w:rsidR="000F7CE6" w:rsidRDefault="000F7CE6" w:rsidP="000F7CE6">
            <w:r>
              <w:t>15,606.50</w:t>
            </w:r>
          </w:p>
        </w:tc>
        <w:tc>
          <w:tcPr>
            <w:tcW w:w="1854" w:type="dxa"/>
          </w:tcPr>
          <w:p w14:paraId="75B7F248" w14:textId="1149FCBD" w:rsidR="000F7CE6" w:rsidRDefault="000F7CE6" w:rsidP="000F7CE6">
            <w:r>
              <w:t>24,894.75</w:t>
            </w:r>
          </w:p>
        </w:tc>
        <w:tc>
          <w:tcPr>
            <w:tcW w:w="1576" w:type="dxa"/>
          </w:tcPr>
          <w:p w14:paraId="67F1241A" w14:textId="5E7187CB" w:rsidR="000F7CE6" w:rsidRDefault="000F7CE6" w:rsidP="000F7CE6">
            <w:r>
              <w:t>57,141.20</w:t>
            </w:r>
          </w:p>
        </w:tc>
      </w:tr>
      <w:tr w:rsidR="000F7CE6" w14:paraId="73DD6C07" w14:textId="44736C3C" w:rsidTr="000F7CE6">
        <w:tc>
          <w:tcPr>
            <w:tcW w:w="1839" w:type="dxa"/>
          </w:tcPr>
          <w:p w14:paraId="410EDEFC" w14:textId="3846324E" w:rsidR="000F7CE6" w:rsidRDefault="000F7CE6" w:rsidP="000F7CE6">
            <w:r>
              <w:t>Sales ($)</w:t>
            </w:r>
          </w:p>
        </w:tc>
        <w:tc>
          <w:tcPr>
            <w:tcW w:w="1843" w:type="dxa"/>
          </w:tcPr>
          <w:p w14:paraId="728D33DF" w14:textId="78049959" w:rsidR="000F7CE6" w:rsidRDefault="000F7CE6" w:rsidP="000F7CE6">
            <w:r>
              <w:t>207,934.70</w:t>
            </w:r>
          </w:p>
        </w:tc>
        <w:tc>
          <w:tcPr>
            <w:tcW w:w="1843" w:type="dxa"/>
          </w:tcPr>
          <w:p w14:paraId="2E0BF969" w14:textId="637BE251" w:rsidR="000F7CE6" w:rsidRDefault="000F7CE6" w:rsidP="000F7CE6">
            <w:r>
              <w:t>443,400.25</w:t>
            </w:r>
          </w:p>
        </w:tc>
        <w:tc>
          <w:tcPr>
            <w:tcW w:w="1843" w:type="dxa"/>
          </w:tcPr>
          <w:p w14:paraId="1C6BED50" w14:textId="22A6285A" w:rsidR="000F7CE6" w:rsidRDefault="000F7CE6" w:rsidP="000F7CE6">
            <w:r>
              <w:t>782,309.50</w:t>
            </w:r>
          </w:p>
        </w:tc>
        <w:tc>
          <w:tcPr>
            <w:tcW w:w="1854" w:type="dxa"/>
          </w:tcPr>
          <w:p w14:paraId="737BEA6E" w14:textId="5B66BFE3" w:rsidR="000F7CE6" w:rsidRDefault="000F7CE6" w:rsidP="000F7CE6">
            <w:r>
              <w:t>1,651,912.00</w:t>
            </w:r>
          </w:p>
        </w:tc>
        <w:tc>
          <w:tcPr>
            <w:tcW w:w="1576" w:type="dxa"/>
          </w:tcPr>
          <w:p w14:paraId="1B0C0C72" w14:textId="0FDC5457" w:rsidR="000F7CE6" w:rsidRDefault="000F7CE6" w:rsidP="000F7CE6">
            <w:r>
              <w:t>4,279,618.80</w:t>
            </w:r>
          </w:p>
        </w:tc>
      </w:tr>
      <w:tr w:rsidR="000F7CE6" w14:paraId="6C31EF3E" w14:textId="129C3E29" w:rsidTr="000F7CE6">
        <w:tc>
          <w:tcPr>
            <w:tcW w:w="1839" w:type="dxa"/>
          </w:tcPr>
          <w:p w14:paraId="1086424E" w14:textId="798105A0" w:rsidR="000F7CE6" w:rsidRDefault="000F7CE6" w:rsidP="000F7CE6">
            <w:r>
              <w:t>Per Capita ($)</w:t>
            </w:r>
          </w:p>
        </w:tc>
        <w:tc>
          <w:tcPr>
            <w:tcW w:w="1843" w:type="dxa"/>
          </w:tcPr>
          <w:p w14:paraId="09AA6442" w14:textId="65C1B11A" w:rsidR="000F7CE6" w:rsidRDefault="000F7CE6" w:rsidP="000F7CE6">
            <w:r>
              <w:t>25.22</w:t>
            </w:r>
          </w:p>
        </w:tc>
        <w:tc>
          <w:tcPr>
            <w:tcW w:w="1843" w:type="dxa"/>
          </w:tcPr>
          <w:p w14:paraId="68D4FB1C" w14:textId="52B41487" w:rsidR="000F7CE6" w:rsidRDefault="000F7CE6" w:rsidP="000F7CE6">
            <w:r>
              <w:t>36.62</w:t>
            </w:r>
          </w:p>
        </w:tc>
        <w:tc>
          <w:tcPr>
            <w:tcW w:w="1843" w:type="dxa"/>
          </w:tcPr>
          <w:p w14:paraId="4DB257C8" w14:textId="61844FF7" w:rsidR="000F7CE6" w:rsidRDefault="000F7CE6" w:rsidP="000F7CE6">
            <w:r>
              <w:t>55.61</w:t>
            </w:r>
          </w:p>
        </w:tc>
        <w:tc>
          <w:tcPr>
            <w:tcW w:w="1854" w:type="dxa"/>
          </w:tcPr>
          <w:p w14:paraId="4DDE821A" w14:textId="2BFC972A" w:rsidR="000F7CE6" w:rsidRDefault="000F7CE6" w:rsidP="000F7CE6">
            <w:r>
              <w:t>71.08</w:t>
            </w:r>
          </w:p>
        </w:tc>
        <w:tc>
          <w:tcPr>
            <w:tcW w:w="1576" w:type="dxa"/>
          </w:tcPr>
          <w:p w14:paraId="0F097959" w14:textId="143FF755" w:rsidR="000F7CE6" w:rsidRDefault="000F7CE6" w:rsidP="000F7CE6">
            <w:r>
              <w:t>95.36</w:t>
            </w:r>
          </w:p>
        </w:tc>
      </w:tr>
    </w:tbl>
    <w:p w14:paraId="665723E1" w14:textId="77777777" w:rsidR="000F7CE6" w:rsidRDefault="000F7CE6" w:rsidP="000F7CE6"/>
    <w:p w14:paraId="37C89656" w14:textId="70E39850" w:rsidR="00626557" w:rsidRPr="00626557" w:rsidRDefault="00626557" w:rsidP="000F7CE6">
      <w:r w:rsidRPr="00626557">
        <w:rPr>
          <w:rFonts w:asciiTheme="majorBidi" w:eastAsia="Times New Roman" w:hAnsiTheme="majorBidi" w:cstheme="majorBidi"/>
          <w:b/>
          <w:bCs/>
          <w:kern w:val="0"/>
          <w:sz w:val="27"/>
          <w:szCs w:val="27"/>
          <w14:ligatures w14:val="none"/>
        </w:rPr>
        <w:t>Methodological Implications</w:t>
      </w:r>
    </w:p>
    <w:p w14:paraId="253C2B46"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Because the two datasets come from different sources and different years:</w:t>
      </w:r>
    </w:p>
    <w:p w14:paraId="1054E197"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assumed </w:t>
      </w:r>
      <w:r w:rsidRPr="00626557">
        <w:rPr>
          <w:rFonts w:asciiTheme="majorBidi" w:eastAsia="Times New Roman" w:hAnsiTheme="majorBidi" w:cstheme="majorBidi"/>
          <w:b/>
          <w:bCs/>
          <w:kern w:val="0"/>
          <w14:ligatures w14:val="none"/>
        </w:rPr>
        <w:t>relative short-term income stability</w:t>
      </w:r>
      <w:r w:rsidRPr="00626557">
        <w:rPr>
          <w:rFonts w:asciiTheme="majorBidi" w:eastAsia="Times New Roman" w:hAnsiTheme="majorBidi" w:cstheme="majorBidi"/>
          <w:kern w:val="0"/>
          <w14:ligatures w14:val="none"/>
        </w:rPr>
        <w:t xml:space="preserve"> between 2019 and 2020.</w:t>
      </w:r>
    </w:p>
    <w:p w14:paraId="235F2A6F"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transformed total liquor sales into </w:t>
      </w:r>
      <w:r w:rsidRPr="00626557">
        <w:rPr>
          <w:rFonts w:asciiTheme="majorBidi" w:eastAsia="Times New Roman" w:hAnsiTheme="majorBidi" w:cstheme="majorBidi"/>
          <w:b/>
          <w:bCs/>
          <w:kern w:val="0"/>
          <w14:ligatures w14:val="none"/>
        </w:rPr>
        <w:t>per-capita values</w:t>
      </w:r>
      <w:r w:rsidRPr="00626557">
        <w:rPr>
          <w:rFonts w:asciiTheme="majorBidi" w:eastAsia="Times New Roman" w:hAnsiTheme="majorBidi" w:cstheme="majorBidi"/>
          <w:kern w:val="0"/>
          <w14:ligatures w14:val="none"/>
        </w:rPr>
        <w:t xml:space="preserve"> to ensure fair comparisons.</w:t>
      </w:r>
    </w:p>
    <w:p w14:paraId="14EBB03B"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 </w:t>
      </w:r>
      <w:r w:rsidRPr="00626557">
        <w:rPr>
          <w:rFonts w:asciiTheme="majorBidi" w:eastAsia="Times New Roman" w:hAnsiTheme="majorBidi" w:cstheme="majorBidi"/>
          <w:b/>
          <w:bCs/>
          <w:kern w:val="0"/>
          <w14:ligatures w14:val="none"/>
        </w:rPr>
        <w:t>inner join by county</w:t>
      </w:r>
      <w:r w:rsidRPr="00626557">
        <w:rPr>
          <w:rFonts w:asciiTheme="majorBidi" w:eastAsia="Times New Roman" w:hAnsiTheme="majorBidi" w:cstheme="majorBidi"/>
          <w:kern w:val="0"/>
          <w14:ligatures w14:val="none"/>
        </w:rPr>
        <w:t xml:space="preserve"> ensured consistent geographic alignment.</w:t>
      </w:r>
    </w:p>
    <w:p w14:paraId="30D47AF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Descriptive Summary</w:t>
      </w:r>
    </w:p>
    <w:p w14:paraId="627EEE2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Across Iowa counties:</w:t>
      </w:r>
    </w:p>
    <w:p w14:paraId="3A847CB5"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incomes show clear regional variation.</w:t>
      </w:r>
    </w:p>
    <w:p w14:paraId="07B0FA5C"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Population ranges from small rural counties to large urban counties.</w:t>
      </w:r>
    </w:p>
    <w:p w14:paraId="5869FC16" w14:textId="084B4376" w:rsidR="001F21E1" w:rsidRDefault="00626557" w:rsidP="000F7CE6">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sales totals vary substantially, largely driven by population size before normalization.</w:t>
      </w:r>
    </w:p>
    <w:p w14:paraId="553EEA84" w14:textId="77777777" w:rsidR="00D32200"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47695985" w14:textId="77777777" w:rsidR="00D32200" w:rsidRPr="000F7CE6"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0A7B56FC" w14:textId="4B7EBEC9"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lastRenderedPageBreak/>
        <w:t>3. Data Analytics (50 pts)</w:t>
      </w:r>
    </w:p>
    <w:p w14:paraId="2F2B9156" w14:textId="7A9332D2" w:rsidR="00D32200" w:rsidRPr="00D32200" w:rsidRDefault="00D32200" w:rsidP="00D3220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32200">
        <w:rPr>
          <w:rFonts w:ascii="Times New Roman" w:eastAsia="Times New Roman" w:hAnsi="Times New Roman" w:cs="Times New Roman"/>
          <w:b/>
          <w:bCs/>
          <w:kern w:val="0"/>
          <w14:ligatures w14:val="none"/>
        </w:rPr>
        <w:t>SQL Aggregation &amp; Validation</w:t>
      </w:r>
    </w:p>
    <w:p w14:paraId="35736CB5"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SQL was used to:</w:t>
      </w:r>
    </w:p>
    <w:p w14:paraId="281E2047"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Aggregate transaction-level sales into </w:t>
      </w:r>
      <w:r w:rsidRPr="00D32200">
        <w:rPr>
          <w:rFonts w:ascii="Times New Roman" w:eastAsia="Times New Roman" w:hAnsi="Times New Roman" w:cs="Times New Roman"/>
          <w:b/>
          <w:bCs/>
          <w:kern w:val="0"/>
          <w14:ligatures w14:val="none"/>
        </w:rPr>
        <w:t>county-level totals</w:t>
      </w:r>
    </w:p>
    <w:p w14:paraId="26C90EB9"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Join sales with </w:t>
      </w:r>
      <w:r w:rsidRPr="00D32200">
        <w:rPr>
          <w:rFonts w:ascii="Times New Roman" w:eastAsia="Times New Roman" w:hAnsi="Times New Roman" w:cs="Times New Roman"/>
          <w:b/>
          <w:bCs/>
          <w:kern w:val="0"/>
          <w14:ligatures w14:val="none"/>
        </w:rPr>
        <w:t>county income and population</w:t>
      </w:r>
    </w:p>
    <w:p w14:paraId="0A469B43"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Validate completeness and remove inconsistent county labels</w:t>
      </w:r>
    </w:p>
    <w:p w14:paraId="51BF1AD4"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Core SQL structure:</w:t>
      </w:r>
    </w:p>
    <w:p w14:paraId="2B75076A"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SUM(sale_dollars)</w:t>
      </w:r>
      <w:r w:rsidRPr="00D32200">
        <w:rPr>
          <w:rFonts w:ascii="Times New Roman" w:eastAsia="Times New Roman" w:hAnsi="Times New Roman" w:cs="Times New Roman"/>
          <w:kern w:val="0"/>
          <w14:ligatures w14:val="none"/>
        </w:rPr>
        <w:t xml:space="preserve"> grouped by </w:t>
      </w:r>
      <w:r w:rsidRPr="00D32200">
        <w:rPr>
          <w:rFonts w:ascii="Courier New" w:eastAsia="Times New Roman" w:hAnsi="Courier New" w:cs="Courier New"/>
          <w:kern w:val="0"/>
          <w:sz w:val="20"/>
          <w:szCs w:val="20"/>
          <w14:ligatures w14:val="none"/>
        </w:rPr>
        <w:t>county</w:t>
      </w:r>
    </w:p>
    <w:p w14:paraId="43AA4387"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INNER JOIN</w:t>
      </w:r>
      <w:r w:rsidRPr="00D32200">
        <w:rPr>
          <w:rFonts w:ascii="Times New Roman" w:eastAsia="Times New Roman" w:hAnsi="Times New Roman" w:cs="Times New Roman"/>
          <w:kern w:val="0"/>
          <w14:ligatures w14:val="none"/>
        </w:rPr>
        <w:t xml:space="preserve"> with ACS county income and population</w:t>
      </w:r>
    </w:p>
    <w:p w14:paraId="75ED5999"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This provided:</w:t>
      </w:r>
    </w:p>
    <w:p w14:paraId="2D932E55"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Total liquor sales by county</w:t>
      </w:r>
    </w:p>
    <w:p w14:paraId="02652E27"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Verified county-level joins</w:t>
      </w:r>
    </w:p>
    <w:p w14:paraId="4AB8087A" w14:textId="6BAAE19A"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A reproducible aggregation pipeline for auditing</w:t>
      </w:r>
    </w:p>
    <w:p w14:paraId="38C4AAFC" w14:textId="1BB6B12F"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Aggregation and Feature Engineering</w:t>
      </w:r>
    </w:p>
    <w:p w14:paraId="6BE04A2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first aggregated liquor sales at the county level:</w:t>
      </w:r>
    </w:p>
    <w:p w14:paraId="168AAF3D"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Total County Liquor Sales</m:t>
          </m:r>
          <m:r>
            <w:rPr>
              <w:rFonts w:ascii="Cambria Math" w:eastAsia="Times New Roman" w:hAnsi="Cambria Math" w:cstheme="majorBidi"/>
              <w:kern w:val="0"/>
              <w14:ligatures w14:val="none"/>
            </w:rPr>
            <m:t>=∑</m:t>
          </m:r>
          <m:r>
            <m:rPr>
              <m:nor/>
            </m:rPr>
            <w:rPr>
              <w:rFonts w:asciiTheme="majorBidi" w:eastAsia="Times New Roman" w:hAnsiTheme="majorBidi" w:cstheme="majorBidi"/>
              <w:kern w:val="0"/>
              <w14:ligatures w14:val="none"/>
            </w:rPr>
            <m:t>sale.dollars</m:t>
          </m:r>
          <m:r>
            <w:rPr>
              <w:rFonts w:asciiTheme="majorBidi" w:eastAsia="Times New Roman" w:hAnsiTheme="majorBidi" w:cstheme="majorBidi"/>
              <w:kern w:val="0"/>
              <w14:ligatures w14:val="none"/>
            </w:rPr>
            <w:br/>
          </m:r>
        </m:oMath>
      </m:oMathPara>
    </w:p>
    <w:p w14:paraId="6171799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then constructed a </w:t>
      </w:r>
      <w:r w:rsidRPr="00626557">
        <w:rPr>
          <w:rFonts w:asciiTheme="majorBidi" w:eastAsia="Times New Roman" w:hAnsiTheme="majorBidi" w:cstheme="majorBidi"/>
          <w:b/>
          <w:bCs/>
          <w:kern w:val="0"/>
          <w14:ligatures w14:val="none"/>
        </w:rPr>
        <w:t>per-capita spending variable</w:t>
      </w:r>
      <w:r w:rsidRPr="00626557">
        <w:rPr>
          <w:rFonts w:asciiTheme="majorBidi" w:eastAsia="Times New Roman" w:hAnsiTheme="majorBidi" w:cstheme="majorBidi"/>
          <w:kern w:val="0"/>
          <w14:ligatures w14:val="none"/>
        </w:rPr>
        <w:t>:</w:t>
      </w:r>
    </w:p>
    <w:p w14:paraId="5953A705"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Liquor Dollars Per Capita</m:t>
          </m:r>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m:rPr>
                  <m:nor/>
                </m:rPr>
                <w:rPr>
                  <w:rFonts w:asciiTheme="majorBidi" w:eastAsia="Times New Roman" w:hAnsiTheme="majorBidi" w:cstheme="majorBidi"/>
                  <w:kern w:val="0"/>
                  <w14:ligatures w14:val="none"/>
                </w:rPr>
                <m:t>Total County Liquor Sales</m:t>
              </m:r>
            </m:num>
            <m:den>
              <m:r>
                <m:rPr>
                  <m:nor/>
                </m:rPr>
                <w:rPr>
                  <w:rFonts w:asciiTheme="majorBidi" w:eastAsia="Times New Roman" w:hAnsiTheme="majorBidi" w:cstheme="majorBidi"/>
                  <w:kern w:val="0"/>
                  <w14:ligatures w14:val="none"/>
                </w:rPr>
                <m:t>Population</m:t>
              </m:r>
            </m:den>
          </m:f>
          <m:r>
            <w:rPr>
              <w:rFonts w:asciiTheme="majorBidi" w:eastAsia="Times New Roman" w:hAnsiTheme="majorBidi" w:cstheme="majorBidi"/>
              <w:kern w:val="0"/>
              <w14:ligatures w14:val="none"/>
            </w:rPr>
            <w:br/>
          </m:r>
        </m:oMath>
      </m:oMathPara>
    </w:p>
    <w:p w14:paraId="793B57FC"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transformation was essential to remove population-driven distortion.</w:t>
      </w:r>
    </w:p>
    <w:p w14:paraId="74AB515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Merging Process</w:t>
      </w:r>
    </w:p>
    <w:p w14:paraId="6B5C3492"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sales and ACS datasets were merged by county using:</w:t>
      </w:r>
    </w:p>
    <w:p w14:paraId="4B59A745"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SQL for initial validation,</w:t>
      </w:r>
    </w:p>
    <w:p w14:paraId="4972E100"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 for data cleaning and aggregation,</w:t>
      </w:r>
    </w:p>
    <w:p w14:paraId="572E9C28"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Python for final analysis, correlation testing, and visualization.</w:t>
      </w:r>
    </w:p>
    <w:p w14:paraId="32299E99"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 xml:space="preserve">All three tools produced </w:t>
      </w:r>
      <w:r w:rsidRPr="00626557">
        <w:rPr>
          <w:rFonts w:asciiTheme="majorBidi" w:eastAsia="Times New Roman" w:hAnsiTheme="majorBidi" w:cstheme="majorBidi"/>
          <w:b/>
          <w:bCs/>
          <w:kern w:val="0"/>
          <w14:ligatures w14:val="none"/>
        </w:rPr>
        <w:t>consistent numerical results</w:t>
      </w:r>
      <w:r w:rsidRPr="00626557">
        <w:rPr>
          <w:rFonts w:asciiTheme="majorBidi" w:eastAsia="Times New Roman" w:hAnsiTheme="majorBidi" w:cstheme="majorBidi"/>
          <w:kern w:val="0"/>
          <w14:ligatures w14:val="none"/>
        </w:rPr>
        <w:t>, confirming the reliability of the workflow.</w:t>
      </w:r>
    </w:p>
    <w:p w14:paraId="1822281B"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Correlation Analysis</w:t>
      </w:r>
    </w:p>
    <w:p w14:paraId="716955E5"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computed the </w:t>
      </w:r>
      <w:r w:rsidRPr="00626557">
        <w:rPr>
          <w:rFonts w:asciiTheme="majorBidi" w:eastAsia="Times New Roman" w:hAnsiTheme="majorBidi" w:cstheme="majorBidi"/>
          <w:b/>
          <w:bCs/>
          <w:kern w:val="0"/>
          <w14:ligatures w14:val="none"/>
        </w:rPr>
        <w:t>Pearson correlation coefficient</w:t>
      </w:r>
      <w:r w:rsidRPr="00626557">
        <w:rPr>
          <w:rFonts w:asciiTheme="majorBidi" w:eastAsia="Times New Roman" w:hAnsiTheme="majorBidi" w:cstheme="majorBidi"/>
          <w:kern w:val="0"/>
          <w14:ligatures w14:val="none"/>
        </w:rPr>
        <w:t xml:space="preserve"> between:</w:t>
      </w:r>
    </w:p>
    <w:p w14:paraId="711113F8"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w:t>
      </w:r>
    </w:p>
    <w:p w14:paraId="373812F2"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dollars per capita</w:t>
      </w:r>
    </w:p>
    <w:p w14:paraId="7D3B9F82" w14:textId="1FA5328D"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Result</w:t>
      </w:r>
    </w:p>
    <w:p w14:paraId="0342E489"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SQL was used for initial data validation, county-level aggregation, and verification of summary measures. Python and R were used for per-capita normalization and correlation estimation, while Tableau supported final interactive visualizations.</w:t>
      </w:r>
    </w:p>
    <w:p w14:paraId="707F0FAF"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The Pearson correlation between median household income and liquor spending per capita is r ≈ -0.106, indicating an extremely weak and slightly negative relationship. Per-capita liquor spending ranges from $3.57 at the lower end of the distribution to $220.83 in the highest-spending counties.</w:t>
      </w:r>
    </w:p>
    <w:p w14:paraId="182ECEB6" w14:textId="199CEF52" w:rsidR="000F7CE6" w:rsidRPr="00626557"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Total county-level liquor sales vary from approximately $25,053 to more than $61,059,636 annually, demonstrating that market size dominates total revenue patterns.</w:t>
      </w:r>
    </w:p>
    <w:p w14:paraId="40424070"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Interpretation</w:t>
      </w:r>
    </w:p>
    <w:p w14:paraId="48AED42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value indicates:</w:t>
      </w:r>
    </w:p>
    <w:p w14:paraId="760D3F8B"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 </w:t>
      </w:r>
      <w:r w:rsidRPr="00626557">
        <w:rPr>
          <w:rFonts w:asciiTheme="majorBidi" w:eastAsia="Times New Roman" w:hAnsiTheme="majorBidi" w:cstheme="majorBidi"/>
          <w:b/>
          <w:bCs/>
          <w:kern w:val="0"/>
          <w14:ligatures w14:val="none"/>
        </w:rPr>
        <w:t>very weak negative relationship</w:t>
      </w:r>
    </w:p>
    <w:p w14:paraId="754BA8DC"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Income explains </w:t>
      </w:r>
      <w:r w:rsidRPr="00626557">
        <w:rPr>
          <w:rFonts w:asciiTheme="majorBidi" w:eastAsia="Times New Roman" w:hAnsiTheme="majorBidi" w:cstheme="majorBidi"/>
          <w:b/>
          <w:bCs/>
          <w:kern w:val="0"/>
          <w14:ligatures w14:val="none"/>
        </w:rPr>
        <w:t>almost none</w:t>
      </w:r>
      <w:r w:rsidRPr="00626557">
        <w:rPr>
          <w:rFonts w:asciiTheme="majorBidi" w:eastAsia="Times New Roman" w:hAnsiTheme="majorBidi" w:cstheme="majorBidi"/>
          <w:kern w:val="0"/>
          <w14:ligatures w14:val="none"/>
        </w:rPr>
        <w:t xml:space="preserve"> of the variation in liquor spending per capita</w:t>
      </w:r>
    </w:p>
    <w:p w14:paraId="7299F961" w14:textId="77777777" w:rsid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Higher-income counties do </w:t>
      </w:r>
      <w:r w:rsidRPr="00626557">
        <w:rPr>
          <w:rFonts w:asciiTheme="majorBidi" w:eastAsia="Times New Roman" w:hAnsiTheme="majorBidi" w:cstheme="majorBidi"/>
          <w:b/>
          <w:bCs/>
          <w:kern w:val="0"/>
          <w14:ligatures w14:val="none"/>
        </w:rPr>
        <w:t>not</w:t>
      </w:r>
      <w:r w:rsidRPr="00626557">
        <w:rPr>
          <w:rFonts w:asciiTheme="majorBidi" w:eastAsia="Times New Roman" w:hAnsiTheme="majorBidi" w:cstheme="majorBidi"/>
          <w:kern w:val="0"/>
          <w14:ligatures w14:val="none"/>
        </w:rPr>
        <w:t xml:space="preserve"> appear to consume more liquor per person</w:t>
      </w:r>
    </w:p>
    <w:p w14:paraId="7ECAC23D" w14:textId="4A48E81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Consitent coefficient using R and Python</w:t>
      </w:r>
    </w:p>
    <w:p w14:paraId="1800E904"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sign of the correlation suggests a slight tendency for lower-income counties to spend marginally more on liquor per capita, but the magnitude is too small to imply a strong behavioral pattern.</w:t>
      </w:r>
    </w:p>
    <w:p w14:paraId="4AC064D4"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70FE8A20"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B1D96D2"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8172D45"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431D53BD" w14:textId="292FC14B"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Visualization Insights</w:t>
      </w:r>
    </w:p>
    <w:p w14:paraId="29A215C8" w14:textId="33EC198D"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1</w:t>
      </w:r>
      <w:r w:rsidRPr="000F7CE6">
        <w:rPr>
          <w:rFonts w:asciiTheme="majorBidi" w:eastAsia="Times New Roman" w:hAnsiTheme="majorBidi" w:cstheme="majorBidi"/>
          <w:b/>
          <w:bCs/>
          <w:kern w:val="0"/>
          <w14:ligatures w14:val="none"/>
        </w:rPr>
        <w:t xml:space="preserve">. Median Household Income vs Liquor Spending Per Capita (Tableau Scatter Plot) </w:t>
      </w:r>
    </w:p>
    <w:p w14:paraId="30D5ADB4" w14:textId="250E3017"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2C57A831" wp14:editId="12238A6E">
            <wp:extent cx="5304503" cy="3978377"/>
            <wp:effectExtent l="0" t="0" r="4445" b="0"/>
            <wp:docPr id="102982730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7309" name="Picture 1" descr="A graph of a bar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588" cy="3986691"/>
                    </a:xfrm>
                    <a:prstGeom prst="rect">
                      <a:avLst/>
                    </a:prstGeom>
                  </pic:spPr>
                </pic:pic>
              </a:graphicData>
            </a:graphic>
          </wp:inline>
        </w:drawing>
      </w:r>
    </w:p>
    <w:p w14:paraId="69A8D1B2" w14:textId="77777777" w:rsidR="00D32200" w:rsidRDefault="00D32200" w:rsidP="00D32200">
      <w:pPr>
        <w:pStyle w:val="NormalWeb"/>
      </w:pPr>
      <w:r>
        <w:rPr>
          <w:rFonts w:hAnsi="Symbol"/>
        </w:rPr>
        <w:t></w:t>
      </w:r>
      <w:r>
        <w:t xml:space="preserve">  Points appear </w:t>
      </w:r>
      <w:r>
        <w:rPr>
          <w:rStyle w:val="Strong"/>
          <w:rFonts w:eastAsiaTheme="majorEastAsia"/>
        </w:rPr>
        <w:t>near-randomly dispersed</w:t>
      </w:r>
    </w:p>
    <w:p w14:paraId="0C81918E" w14:textId="77777777" w:rsidR="00D32200" w:rsidRDefault="00D32200" w:rsidP="00D32200">
      <w:pPr>
        <w:pStyle w:val="NormalWeb"/>
      </w:pPr>
      <w:r>
        <w:rPr>
          <w:rFonts w:hAnsi="Symbol"/>
        </w:rPr>
        <w:t></w:t>
      </w:r>
      <w:r>
        <w:t xml:space="preserve">  Regression line slopes </w:t>
      </w:r>
      <w:r>
        <w:rPr>
          <w:rStyle w:val="Strong"/>
          <w:rFonts w:eastAsiaTheme="majorEastAsia"/>
        </w:rPr>
        <w:t>slightly downward</w:t>
      </w:r>
    </w:p>
    <w:p w14:paraId="61B999AC" w14:textId="77777777" w:rsidR="00D32200" w:rsidRDefault="00D32200" w:rsidP="00D32200">
      <w:pPr>
        <w:pStyle w:val="NormalWeb"/>
      </w:pPr>
      <w:r>
        <w:rPr>
          <w:rFonts w:hAnsi="Symbol"/>
        </w:rPr>
        <w:t></w:t>
      </w:r>
      <w:r>
        <w:t xml:space="preserve">  Confirms </w:t>
      </w:r>
      <w:r>
        <w:rPr>
          <w:rStyle w:val="Strong"/>
          <w:rFonts w:eastAsiaTheme="majorEastAsia"/>
        </w:rPr>
        <w:t>weak negative relationship (r ≈ –0.106)</w:t>
      </w:r>
    </w:p>
    <w:p w14:paraId="07C17269" w14:textId="389C68FC" w:rsidR="0043291B" w:rsidRPr="0043291B" w:rsidRDefault="0043291B" w:rsidP="00D32200">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w:t>
      </w:r>
      <w:r w:rsidRPr="0043291B">
        <w:rPr>
          <w:rFonts w:asciiTheme="majorBidi" w:eastAsia="Times New Roman" w:hAnsiTheme="majorBidi" w:cstheme="majorBidi"/>
          <w:kern w:val="0"/>
          <w14:ligatures w14:val="none"/>
        </w:rPr>
        <w:t>his figure visualizes the relationship between county-level median household income and per-capita liquor spending. Each point represents a county, with values normalized by population to reflect individual-level consumption rather than total revenue. The scatter plot shows a widely dispersed pattern with no strong linear clustering. The estimated correlation coefficient (r ≈ −0.106) indicates a very weak negative relationship, suggesting that higher-income counties do not spend more on liquor on a per-capita basis. This result implies that liquor consumption behavior in Iowa is largely independent of income once population effects are removed.</w:t>
      </w:r>
    </w:p>
    <w:p w14:paraId="24586AEB"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7FBC22AA"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4A2A578C" w14:textId="3B5FBCA3"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lastRenderedPageBreak/>
        <w:t xml:space="preserve">Figure </w:t>
      </w:r>
      <w:r w:rsidR="0043291B">
        <w:rPr>
          <w:rFonts w:asciiTheme="majorBidi" w:eastAsia="Times New Roman" w:hAnsiTheme="majorBidi" w:cstheme="majorBidi"/>
          <w:b/>
          <w:bCs/>
          <w:kern w:val="0"/>
          <w14:ligatures w14:val="none"/>
        </w:rPr>
        <w:t>2</w:t>
      </w:r>
      <w:r w:rsidRPr="000F7CE6">
        <w:rPr>
          <w:rFonts w:asciiTheme="majorBidi" w:eastAsia="Times New Roman" w:hAnsiTheme="majorBidi" w:cstheme="majorBidi"/>
          <w:b/>
          <w:bCs/>
          <w:kern w:val="0"/>
          <w14:ligatures w14:val="none"/>
        </w:rPr>
        <w:t>. Income vs Total Liquor Sales (SQL Output Visualization) –</w:t>
      </w:r>
    </w:p>
    <w:p w14:paraId="22B4B331" w14:textId="60F0B72C" w:rsidR="0043291B" w:rsidRPr="000F7CE6"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0DAFED80" wp14:editId="789D68E1">
            <wp:extent cx="5943600" cy="4379595"/>
            <wp:effectExtent l="0" t="0" r="0" b="1905"/>
            <wp:docPr id="1407676188" name="Picture 3" descr="A graph of a liquor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6188" name="Picture 3" descr="A graph of a liquor sa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p>
    <w:p w14:paraId="60485124" w14:textId="77777777" w:rsidR="00D32200" w:rsidRDefault="00D32200" w:rsidP="00D32200">
      <w:pPr>
        <w:pStyle w:val="NormalWeb"/>
      </w:pPr>
      <w:r>
        <w:t>Strong upward slope appears here, but this is:</w:t>
      </w:r>
    </w:p>
    <w:p w14:paraId="515DC637" w14:textId="77777777" w:rsidR="00D32200" w:rsidRPr="0043291B" w:rsidRDefault="00D32200" w:rsidP="00D32200">
      <w:pPr>
        <w:pStyle w:val="NormalWeb"/>
        <w:numPr>
          <w:ilvl w:val="0"/>
          <w:numId w:val="29"/>
        </w:numPr>
      </w:pPr>
      <w:r w:rsidRPr="0043291B">
        <w:rPr>
          <w:rStyle w:val="Strong"/>
          <w:rFonts w:eastAsiaTheme="majorEastAsia"/>
          <w:b w:val="0"/>
          <w:bCs w:val="0"/>
        </w:rPr>
        <w:t>Entirely driven by population size</w:t>
      </w:r>
    </w:p>
    <w:p w14:paraId="4E1E95CA" w14:textId="15E0C5A4" w:rsidR="00D32200" w:rsidRPr="0043291B" w:rsidRDefault="00D32200" w:rsidP="0043291B">
      <w:pPr>
        <w:pStyle w:val="NormalWeb"/>
        <w:numPr>
          <w:ilvl w:val="0"/>
          <w:numId w:val="29"/>
        </w:numPr>
      </w:pPr>
      <w:r w:rsidRPr="0043291B">
        <w:t>Not by individual consumption behavior</w:t>
      </w:r>
    </w:p>
    <w:p w14:paraId="1BAD5023" w14:textId="3752D34B" w:rsidR="0043291B"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This visualization displays the relationship between median household income and total county-level liquor sales. While a positive association is visible, this pattern is driven primarily by county population size rather than differences in individual consumption behavior.</w:t>
      </w:r>
      <w:r>
        <w:rPr>
          <w:rFonts w:asciiTheme="majorBidi" w:eastAsia="Times New Roman" w:hAnsiTheme="majorBidi" w:cstheme="majorBidi"/>
          <w:kern w:val="0"/>
          <w14:ligatures w14:val="none"/>
        </w:rPr>
        <w:t xml:space="preserve"> </w:t>
      </w:r>
      <w:r w:rsidRPr="0043291B">
        <w:rPr>
          <w:rFonts w:asciiTheme="majorBidi" w:eastAsia="Times New Roman" w:hAnsiTheme="majorBidi" w:cstheme="majorBidi"/>
          <w:kern w:val="0"/>
          <w14:ligatures w14:val="none"/>
        </w:rPr>
        <w:t>Although the Income vs Total Liquor Sales visualization suggests a positive relationship, subsequent per-capita normalization reveals that this pattern is driven by population concentration rather than income-based differences in purchasing behavior</w:t>
      </w:r>
    </w:p>
    <w:p w14:paraId="119B7BD3" w14:textId="18DB01D6" w:rsidR="00626557" w:rsidRPr="00626557"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All t</w:t>
      </w:r>
      <w:r w:rsidR="00626557" w:rsidRPr="00626557">
        <w:rPr>
          <w:rFonts w:asciiTheme="majorBidi" w:eastAsia="Times New Roman" w:hAnsiTheme="majorBidi" w:cstheme="majorBidi"/>
          <w:kern w:val="0"/>
          <w14:ligatures w14:val="none"/>
        </w:rPr>
        <w:t>h</w:t>
      </w:r>
      <w:r w:rsidR="00D32200">
        <w:rPr>
          <w:rFonts w:asciiTheme="majorBidi" w:eastAsia="Times New Roman" w:hAnsiTheme="majorBidi" w:cstheme="majorBidi"/>
          <w:kern w:val="0"/>
          <w14:ligatures w14:val="none"/>
        </w:rPr>
        <w:t>ese</w:t>
      </w:r>
      <w:r w:rsidR="00626557" w:rsidRPr="00626557">
        <w:rPr>
          <w:rFonts w:asciiTheme="majorBidi" w:eastAsia="Times New Roman" w:hAnsiTheme="majorBidi" w:cstheme="majorBidi"/>
          <w:kern w:val="0"/>
          <w14:ligatures w14:val="none"/>
        </w:rPr>
        <w:t xml:space="preserve"> visual</w:t>
      </w:r>
      <w:r w:rsidR="00D32200">
        <w:rPr>
          <w:rFonts w:asciiTheme="majorBidi" w:eastAsia="Times New Roman" w:hAnsiTheme="majorBidi" w:cstheme="majorBidi"/>
          <w:kern w:val="0"/>
          <w14:ligatures w14:val="none"/>
        </w:rPr>
        <w:t>s</w:t>
      </w:r>
      <w:r w:rsidR="00626557" w:rsidRPr="00626557">
        <w:rPr>
          <w:rFonts w:asciiTheme="majorBidi" w:eastAsia="Times New Roman" w:hAnsiTheme="majorBidi" w:cstheme="majorBidi"/>
          <w:kern w:val="0"/>
          <w14:ligatures w14:val="none"/>
        </w:rPr>
        <w:t xml:space="preserve"> reinforce the conclusion that:</w:t>
      </w:r>
    </w:p>
    <w:p w14:paraId="14EA143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Liquor consumption behavior in Iowa does not scale predictably with income.</w:t>
      </w:r>
    </w:p>
    <w:p w14:paraId="12C04A96"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92746E7" w14:textId="24E2255E"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Suggested Analytic Extension (Excursion)</w:t>
      </w:r>
    </w:p>
    <w:p w14:paraId="52D7ECF3"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 meaningful next extension would be to:</w:t>
      </w:r>
    </w:p>
    <w:p w14:paraId="40AA08BC"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Decompose liquor spending by </w:t>
      </w:r>
      <w:r w:rsidRPr="00626557">
        <w:rPr>
          <w:rFonts w:asciiTheme="majorBidi" w:eastAsia="Times New Roman" w:hAnsiTheme="majorBidi" w:cstheme="majorBidi"/>
          <w:b/>
          <w:bCs/>
          <w:kern w:val="0"/>
          <w14:ligatures w14:val="none"/>
        </w:rPr>
        <w:t>product type</w:t>
      </w:r>
      <w:r w:rsidRPr="00626557">
        <w:rPr>
          <w:rFonts w:asciiTheme="majorBidi" w:eastAsia="Times New Roman" w:hAnsiTheme="majorBidi" w:cstheme="majorBidi"/>
          <w:kern w:val="0"/>
          <w14:ligatures w14:val="none"/>
        </w:rPr>
        <w:t xml:space="preserve"> (beer, wine, spirits),</w:t>
      </w:r>
    </w:p>
    <w:p w14:paraId="561DE1B2"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Control for </w:t>
      </w:r>
      <w:r w:rsidRPr="00626557">
        <w:rPr>
          <w:rFonts w:asciiTheme="majorBidi" w:eastAsia="Times New Roman" w:hAnsiTheme="majorBidi" w:cstheme="majorBidi"/>
          <w:b/>
          <w:bCs/>
          <w:kern w:val="0"/>
          <w14:ligatures w14:val="none"/>
        </w:rPr>
        <w:t>urbanization, tourism, and age distribution</w:t>
      </w:r>
      <w:r w:rsidRPr="00626557">
        <w:rPr>
          <w:rFonts w:asciiTheme="majorBidi" w:eastAsia="Times New Roman" w:hAnsiTheme="majorBidi" w:cstheme="majorBidi"/>
          <w:kern w:val="0"/>
          <w14:ligatures w14:val="none"/>
        </w:rPr>
        <w:t>,</w:t>
      </w:r>
    </w:p>
    <w:p w14:paraId="53685BDB"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apply </w:t>
      </w:r>
      <w:r w:rsidRPr="00626557">
        <w:rPr>
          <w:rFonts w:asciiTheme="majorBidi" w:eastAsia="Times New Roman" w:hAnsiTheme="majorBidi" w:cstheme="majorBidi"/>
          <w:b/>
          <w:bCs/>
          <w:kern w:val="0"/>
          <w14:ligatures w14:val="none"/>
        </w:rPr>
        <w:t>panel data across multiple years</w:t>
      </w:r>
      <w:r w:rsidRPr="00626557">
        <w:rPr>
          <w:rFonts w:asciiTheme="majorBidi" w:eastAsia="Times New Roman" w:hAnsiTheme="majorBidi" w:cstheme="majorBidi"/>
          <w:kern w:val="0"/>
          <w14:ligatures w14:val="none"/>
        </w:rPr>
        <w:t>.</w:t>
      </w:r>
    </w:p>
    <w:p w14:paraId="2E2B38A0" w14:textId="1DE0BC0D"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additional variables would allow for causal modeling rather than simple correlation.</w:t>
      </w:r>
    </w:p>
    <w:p w14:paraId="4B28270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Advantages &amp; Challenges of the Software Tools</w:t>
      </w:r>
    </w:p>
    <w:tbl>
      <w:tblPr>
        <w:tblStyle w:val="TableGrid"/>
        <w:tblW w:w="0" w:type="auto"/>
        <w:tblLook w:val="04A0" w:firstRow="1" w:lastRow="0" w:firstColumn="1" w:lastColumn="0" w:noHBand="0" w:noVBand="1"/>
      </w:tblPr>
      <w:tblGrid>
        <w:gridCol w:w="3116"/>
        <w:gridCol w:w="3117"/>
        <w:gridCol w:w="3117"/>
      </w:tblGrid>
      <w:tr w:rsidR="00626557" w14:paraId="2C7FDE7C" w14:textId="77777777" w:rsidTr="00D650EF">
        <w:tc>
          <w:tcPr>
            <w:tcW w:w="3116" w:type="dxa"/>
            <w:vAlign w:val="center"/>
          </w:tcPr>
          <w:p w14:paraId="63CB20E2" w14:textId="3C6B8E1C"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Tool</w:t>
            </w:r>
          </w:p>
        </w:tc>
        <w:tc>
          <w:tcPr>
            <w:tcW w:w="3117" w:type="dxa"/>
            <w:vAlign w:val="center"/>
          </w:tcPr>
          <w:p w14:paraId="02B96821" w14:textId="610A9A0B"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Advantages</w:t>
            </w:r>
          </w:p>
        </w:tc>
        <w:tc>
          <w:tcPr>
            <w:tcW w:w="3117" w:type="dxa"/>
            <w:vAlign w:val="center"/>
          </w:tcPr>
          <w:p w14:paraId="1DDC6E4A" w14:textId="6EC48FCE"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Challenges</w:t>
            </w:r>
          </w:p>
        </w:tc>
      </w:tr>
      <w:tr w:rsidR="00626557" w14:paraId="119BBE65" w14:textId="77777777" w:rsidTr="00DB5F13">
        <w:trPr>
          <w:trHeight w:val="694"/>
        </w:trPr>
        <w:tc>
          <w:tcPr>
            <w:tcW w:w="3116" w:type="dxa"/>
            <w:vAlign w:val="center"/>
          </w:tcPr>
          <w:p w14:paraId="4086FE1C" w14:textId="70BB5243"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SQL</w:t>
            </w:r>
          </w:p>
        </w:tc>
        <w:tc>
          <w:tcPr>
            <w:tcW w:w="3117" w:type="dxa"/>
            <w:vAlign w:val="center"/>
          </w:tcPr>
          <w:p w14:paraId="15CF4174" w14:textId="5763A830"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Excellent for large-scale aggregation and joins</w:t>
            </w:r>
          </w:p>
        </w:tc>
        <w:tc>
          <w:tcPr>
            <w:tcW w:w="3117" w:type="dxa"/>
            <w:vAlign w:val="center"/>
          </w:tcPr>
          <w:p w14:paraId="4B0ECB58" w14:textId="25380C2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Limited visualization, less flexible transformation</w:t>
            </w:r>
          </w:p>
        </w:tc>
      </w:tr>
      <w:tr w:rsidR="00626557" w14:paraId="7E599866" w14:textId="77777777" w:rsidTr="00DB5F13">
        <w:trPr>
          <w:trHeight w:val="702"/>
        </w:trPr>
        <w:tc>
          <w:tcPr>
            <w:tcW w:w="3116" w:type="dxa"/>
            <w:vAlign w:val="center"/>
          </w:tcPr>
          <w:p w14:paraId="1EE3F0DA" w14:textId="723748B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R</w:t>
            </w:r>
          </w:p>
        </w:tc>
        <w:tc>
          <w:tcPr>
            <w:tcW w:w="3117" w:type="dxa"/>
            <w:vAlign w:val="center"/>
          </w:tcPr>
          <w:p w14:paraId="299B8B9A" w14:textId="4219BCF5"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Powerful statistical tools and </w:t>
            </w:r>
            <w:r w:rsidR="001F21E1">
              <w:rPr>
                <w:rFonts w:asciiTheme="majorBidi" w:eastAsia="Times New Roman" w:hAnsiTheme="majorBidi" w:cstheme="majorBidi"/>
                <w:kern w:val="0"/>
                <w14:ligatures w14:val="none"/>
              </w:rPr>
              <w:t xml:space="preserve">good for </w:t>
            </w:r>
            <w:r w:rsidRPr="00626557">
              <w:rPr>
                <w:rFonts w:asciiTheme="majorBidi" w:eastAsia="Times New Roman" w:hAnsiTheme="majorBidi" w:cstheme="majorBidi"/>
                <w:kern w:val="0"/>
                <w14:ligatures w14:val="none"/>
              </w:rPr>
              <w:t>clean</w:t>
            </w:r>
            <w:r w:rsidR="001F21E1">
              <w:rPr>
                <w:rFonts w:asciiTheme="majorBidi" w:eastAsia="Times New Roman" w:hAnsiTheme="majorBidi" w:cstheme="majorBidi"/>
                <w:kern w:val="0"/>
                <w14:ligatures w14:val="none"/>
              </w:rPr>
              <w:t>ing</w:t>
            </w:r>
            <w:r w:rsidRPr="00626557">
              <w:rPr>
                <w:rFonts w:asciiTheme="majorBidi" w:eastAsia="Times New Roman" w:hAnsiTheme="majorBidi" w:cstheme="majorBidi"/>
                <w:kern w:val="0"/>
                <w14:ligatures w14:val="none"/>
              </w:rPr>
              <w:t xml:space="preserve"> data </w:t>
            </w:r>
          </w:p>
        </w:tc>
        <w:tc>
          <w:tcPr>
            <w:tcW w:w="3117" w:type="dxa"/>
            <w:vAlign w:val="center"/>
          </w:tcPr>
          <w:p w14:paraId="4F475375" w14:textId="5D8850D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Requires scripting fluency</w:t>
            </w:r>
          </w:p>
        </w:tc>
      </w:tr>
      <w:tr w:rsidR="00626557" w14:paraId="073F5A9B" w14:textId="77777777" w:rsidTr="00DB5F13">
        <w:trPr>
          <w:trHeight w:val="710"/>
        </w:trPr>
        <w:tc>
          <w:tcPr>
            <w:tcW w:w="3116" w:type="dxa"/>
            <w:vAlign w:val="center"/>
          </w:tcPr>
          <w:p w14:paraId="4E388CA5" w14:textId="5193705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Python</w:t>
            </w:r>
          </w:p>
        </w:tc>
        <w:tc>
          <w:tcPr>
            <w:tcW w:w="3117" w:type="dxa"/>
            <w:vAlign w:val="center"/>
          </w:tcPr>
          <w:p w14:paraId="6A787F10" w14:textId="2049F168"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Best balance of modeling, automation, and visualization</w:t>
            </w:r>
          </w:p>
        </w:tc>
        <w:tc>
          <w:tcPr>
            <w:tcW w:w="3117" w:type="dxa"/>
            <w:vAlign w:val="center"/>
          </w:tcPr>
          <w:p w14:paraId="2BAF82F2" w14:textId="4FBEEBE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File path management and environments can be complex</w:t>
            </w:r>
          </w:p>
        </w:tc>
      </w:tr>
    </w:tbl>
    <w:p w14:paraId="34010F7F" w14:textId="7CBBAA1E"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Using all three tools allowed us to:</w:t>
      </w:r>
    </w:p>
    <w:p w14:paraId="27BC5A26"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Cross-validate results,</w:t>
      </w:r>
    </w:p>
    <w:p w14:paraId="7FDB2391"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Leverage each platform’s strengths,</w:t>
      </w:r>
    </w:p>
    <w:p w14:paraId="63CFC6EB" w14:textId="27421A9C" w:rsidR="001F21E1" w:rsidRPr="00626557" w:rsidRDefault="00626557" w:rsidP="0043291B">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improve overall methodological robustness.</w:t>
      </w:r>
    </w:p>
    <w:p w14:paraId="2CE61101"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4. Conclusion (10 pts)</w:t>
      </w:r>
    </w:p>
    <w:p w14:paraId="112714C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project applied a full analytical pipeline:</w:t>
      </w:r>
    </w:p>
    <w:p w14:paraId="2354DFBA"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Data ingestion and aggregation</w:t>
      </w:r>
    </w:p>
    <w:p w14:paraId="0A179659"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Normalization through per-capita transformation</w:t>
      </w:r>
    </w:p>
    <w:p w14:paraId="45EF9B84"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Correlation testing</w:t>
      </w:r>
    </w:p>
    <w:p w14:paraId="142DDFDD"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Visualization and interpretation</w:t>
      </w:r>
    </w:p>
    <w:p w14:paraId="3EF1CAA5"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Cross-platform validation</w:t>
      </w:r>
    </w:p>
    <w:p w14:paraId="5CF7FFF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Answer to the Research Question</w:t>
      </w:r>
    </w:p>
    <w:p w14:paraId="3123B9B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Median household income is not a meaningful predictor of liquor spending per capita across Iowa counties.</w:t>
      </w:r>
    </w:p>
    <w:p w14:paraId="42997009"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While small statistical noise exists, there is no economically significant relationship between income and individual liquor consumption at the county level.</w:t>
      </w:r>
    </w:p>
    <w:p w14:paraId="58A2CCF3"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36BE416" w14:textId="2E0388C6"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Limitations</w:t>
      </w:r>
    </w:p>
    <w:p w14:paraId="2D19D92A"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Single-year analysis</w:t>
      </w:r>
    </w:p>
    <w:p w14:paraId="53ACEA70"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behavioral controls (age, tourism, density)</w:t>
      </w:r>
    </w:p>
    <w:p w14:paraId="2BAA9DC9"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causal inference</w:t>
      </w:r>
    </w:p>
    <w:p w14:paraId="4B73EC5B"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County-level averages mask within-county inequality</w:t>
      </w:r>
    </w:p>
    <w:p w14:paraId="393F2BB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Recommended Future Work</w:t>
      </w:r>
    </w:p>
    <w:p w14:paraId="477CB7FD"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Multi-year panel analysis</w:t>
      </w:r>
    </w:p>
    <w:p w14:paraId="16AB3AB5"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Product-specific consumption modeling</w:t>
      </w:r>
    </w:p>
    <w:p w14:paraId="5E023B87" w14:textId="57FBD5E8" w:rsidR="00626557" w:rsidRDefault="00626557" w:rsidP="001F21E1">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Incorporation of public health outcomes</w:t>
      </w:r>
    </w:p>
    <w:p w14:paraId="26186AB0" w14:textId="77777777" w:rsidR="001F21E1" w:rsidRP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During our initial SQL-based analysis, we observed a positive relationship between median household income and total liquor sales at the county level. This result reflects the fact that higher-income counties also tend to have larger populations, greater commercial density, and higher overall transaction volume. As a result, these counties naturally generate more total liquor revenue.</w:t>
      </w:r>
    </w:p>
    <w:p w14:paraId="3108906F" w14:textId="77777777" w:rsid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However, when we normalized sales by population in Python and R to compute liquor spending on a per-capita basis, this positive relationship disappeared. The per-capita correlation between income and liquor spending was approximately –0.106, indicating a very weak and slightly negative relationship.</w:t>
      </w:r>
    </w:p>
    <w:p w14:paraId="67B31F4B" w14:textId="3099C5B8" w:rsidR="001F21E1" w:rsidRPr="00626557"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This difference is not a contradiction but rather a change in the underlying unit of analysis. Total sales capture market size effects, while per-capita spending captures individual consumption behavior. Together, these findings suggest that while higher-income counties produce more total liquor revenue, higher-income individuals do not consume meaningfully more liquor than lower-income individuals.</w:t>
      </w:r>
    </w:p>
    <w:p w14:paraId="16B28A67"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5. Policy Recommendation (10 pts)</w:t>
      </w:r>
    </w:p>
    <w:p w14:paraId="5A745B8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Decision Facing the State</w:t>
      </w:r>
    </w:p>
    <w:p w14:paraId="3CE7EFC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decision maker is evaluating whether to:</w:t>
      </w:r>
    </w:p>
    <w:p w14:paraId="28E7A0A8" w14:textId="77777777" w:rsidR="00626557" w:rsidRPr="00626557" w:rsidRDefault="00626557" w:rsidP="00626557">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Adjust alcohol taxes based on income distribution, or</w:t>
      </w:r>
    </w:p>
    <w:p w14:paraId="590B194F" w14:textId="77777777" w:rsidR="00626557" w:rsidRPr="00626557" w:rsidRDefault="00626557" w:rsidP="00626557">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Implement targeted prevention programs in specific counties.</w:t>
      </w:r>
    </w:p>
    <w:p w14:paraId="19D6C21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Data-Driven Recommendation</w:t>
      </w:r>
    </w:p>
    <w:p w14:paraId="5EE0D6C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Because income is </w:t>
      </w:r>
      <w:r w:rsidRPr="00626557">
        <w:rPr>
          <w:rFonts w:asciiTheme="majorBidi" w:eastAsia="Times New Roman" w:hAnsiTheme="majorBidi" w:cstheme="majorBidi"/>
          <w:b/>
          <w:bCs/>
          <w:kern w:val="0"/>
          <w14:ligatures w14:val="none"/>
        </w:rPr>
        <w:t>not strongly linked</w:t>
      </w:r>
      <w:r w:rsidRPr="00626557">
        <w:rPr>
          <w:rFonts w:asciiTheme="majorBidi" w:eastAsia="Times New Roman" w:hAnsiTheme="majorBidi" w:cstheme="majorBidi"/>
          <w:kern w:val="0"/>
          <w14:ligatures w14:val="none"/>
        </w:rPr>
        <w:t xml:space="preserve"> to liquor consumption per capita, we recommend:</w:t>
      </w:r>
    </w:p>
    <w:p w14:paraId="729B814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lastRenderedPageBreak/>
        <w:t>Targeting alcohol policy interventions based on consumption intensity and public health risk rather than income levels alone.</w:t>
      </w:r>
    </w:p>
    <w:p w14:paraId="52BA7DF8"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suggests:</w:t>
      </w:r>
    </w:p>
    <w:p w14:paraId="577F6789" w14:textId="77777777" w:rsidR="00626557" w:rsidRPr="00626557" w:rsidRDefault="00626557" w:rsidP="00626557">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Taxation policy should remain </w:t>
      </w:r>
      <w:r w:rsidRPr="00626557">
        <w:rPr>
          <w:rFonts w:asciiTheme="majorBidi" w:eastAsia="Times New Roman" w:hAnsiTheme="majorBidi" w:cstheme="majorBidi"/>
          <w:b/>
          <w:bCs/>
          <w:kern w:val="0"/>
          <w14:ligatures w14:val="none"/>
        </w:rPr>
        <w:t>uniform rather than income-adjusted</w:t>
      </w:r>
    </w:p>
    <w:p w14:paraId="09D0BF67" w14:textId="5438C35B" w:rsidR="00626557" w:rsidRPr="00626557" w:rsidRDefault="00626557" w:rsidP="001F21E1">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Prevention resources should focus on </w:t>
      </w:r>
      <w:r w:rsidRPr="00626557">
        <w:rPr>
          <w:rFonts w:asciiTheme="majorBidi" w:eastAsia="Times New Roman" w:hAnsiTheme="majorBidi" w:cstheme="majorBidi"/>
          <w:b/>
          <w:bCs/>
          <w:kern w:val="0"/>
          <w14:ligatures w14:val="none"/>
        </w:rPr>
        <w:t>high per-capita consumption counties, regardless of income</w:t>
      </w:r>
    </w:p>
    <w:p w14:paraId="284B85A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First-Order Effects</w:t>
      </w:r>
    </w:p>
    <w:p w14:paraId="7453D440" w14:textId="77777777" w:rsidR="00626557" w:rsidRPr="00626557" w:rsidRDefault="00626557" w:rsidP="00626557">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More efficient allocation of prevention funding</w:t>
      </w:r>
    </w:p>
    <w:p w14:paraId="4F028101" w14:textId="77777777" w:rsidR="00626557" w:rsidRPr="00626557" w:rsidRDefault="00626557" w:rsidP="00626557">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Reduced misclassification of high-risk counties</w:t>
      </w:r>
    </w:p>
    <w:p w14:paraId="2E1BD09E" w14:textId="77777777" w:rsidR="00626557" w:rsidRPr="00626557" w:rsidRDefault="00626557" w:rsidP="00626557">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More equitable regulatory enforcement</w:t>
      </w:r>
    </w:p>
    <w:p w14:paraId="7C1EFB49"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Second-Order Effects</w:t>
      </w:r>
    </w:p>
    <w:p w14:paraId="4B9B2112" w14:textId="77777777" w:rsidR="00626557" w:rsidRPr="00626557" w:rsidRDefault="00626557" w:rsidP="00626557">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Lower long-term healthcare costs</w:t>
      </w:r>
    </w:p>
    <w:p w14:paraId="19508BA1" w14:textId="77777777" w:rsidR="00626557" w:rsidRPr="00626557" w:rsidRDefault="00626557" w:rsidP="00626557">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Reduced alcohol-related crime and injuries</w:t>
      </w:r>
    </w:p>
    <w:p w14:paraId="7C1C6FC0" w14:textId="18399790" w:rsidR="00626557" w:rsidRPr="00626557" w:rsidRDefault="00626557" w:rsidP="001F21E1">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Improved workforce productivity</w:t>
      </w:r>
    </w:p>
    <w:p w14:paraId="69F81893"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Benefits</w:t>
      </w:r>
    </w:p>
    <w:p w14:paraId="6DD3BB1B" w14:textId="77777777" w:rsidR="00626557" w:rsidRPr="00626557" w:rsidRDefault="00626557" w:rsidP="00626557">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Evidence-based targeting</w:t>
      </w:r>
    </w:p>
    <w:p w14:paraId="6EBDF6BD" w14:textId="77777777" w:rsidR="00626557" w:rsidRPr="00626557" w:rsidRDefault="00626557" w:rsidP="00626557">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Reduced waste in public spending</w:t>
      </w:r>
    </w:p>
    <w:p w14:paraId="08AF9B49" w14:textId="77777777" w:rsidR="00626557" w:rsidRPr="00626557" w:rsidRDefault="00626557" w:rsidP="00626557">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Improved health outcomes in high-risk regions</w:t>
      </w:r>
    </w:p>
    <w:p w14:paraId="710AD68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Risks</w:t>
      </w:r>
    </w:p>
    <w:p w14:paraId="47D3FC70"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resistance if high-consumption counties feel singled out</w:t>
      </w:r>
    </w:p>
    <w:p w14:paraId="2A882BFB"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Short-term revenue volatility in affected counties</w:t>
      </w:r>
    </w:p>
    <w:p w14:paraId="450C071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risks can be mitigated through:</w:t>
      </w:r>
    </w:p>
    <w:p w14:paraId="7979AF96"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Transparent data communication</w:t>
      </w:r>
    </w:p>
    <w:p w14:paraId="4C51F558"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Gradual implementation</w:t>
      </w:r>
    </w:p>
    <w:p w14:paraId="7F3E0183"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Community-based education programs</w:t>
      </w:r>
    </w:p>
    <w:p w14:paraId="6F5745C7" w14:textId="77777777" w:rsidR="00626557" w:rsidRPr="00626557" w:rsidRDefault="00626557">
      <w:pPr>
        <w:rPr>
          <w:rFonts w:asciiTheme="majorBidi" w:hAnsiTheme="majorBidi" w:cstheme="majorBidi"/>
        </w:rPr>
      </w:pPr>
    </w:p>
    <w:sectPr w:rsidR="00626557" w:rsidRPr="00626557">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75EB" w14:textId="77777777" w:rsidR="002762B6" w:rsidRDefault="002762B6" w:rsidP="00EB04AE">
      <w:pPr>
        <w:spacing w:after="0" w:line="240" w:lineRule="auto"/>
      </w:pPr>
      <w:r>
        <w:separator/>
      </w:r>
    </w:p>
  </w:endnote>
  <w:endnote w:type="continuationSeparator" w:id="0">
    <w:p w14:paraId="732ED431" w14:textId="77777777" w:rsidR="002762B6" w:rsidRDefault="002762B6" w:rsidP="00EB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72979"/>
      <w:docPartObj>
        <w:docPartGallery w:val="Page Numbers (Bottom of Page)"/>
        <w:docPartUnique/>
      </w:docPartObj>
    </w:sdtPr>
    <w:sdtContent>
      <w:p w14:paraId="1E6E0690" w14:textId="2794A590"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9BCF57" w14:textId="77777777" w:rsidR="00EB04AE" w:rsidRDefault="00EB04AE" w:rsidP="00EB04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8928993"/>
      <w:docPartObj>
        <w:docPartGallery w:val="Page Numbers (Bottom of Page)"/>
        <w:docPartUnique/>
      </w:docPartObj>
    </w:sdtPr>
    <w:sdtContent>
      <w:p w14:paraId="59109F95" w14:textId="07F10285"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4BE069E" w14:textId="77777777" w:rsidR="00EB04AE" w:rsidRDefault="00EB04AE" w:rsidP="00EB04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4010" w14:textId="77777777" w:rsidR="002762B6" w:rsidRDefault="002762B6" w:rsidP="00EB04AE">
      <w:pPr>
        <w:spacing w:after="0" w:line="240" w:lineRule="auto"/>
      </w:pPr>
      <w:r>
        <w:separator/>
      </w:r>
    </w:p>
  </w:footnote>
  <w:footnote w:type="continuationSeparator" w:id="0">
    <w:p w14:paraId="767E219E" w14:textId="77777777" w:rsidR="002762B6" w:rsidRDefault="002762B6" w:rsidP="00EB0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BA7"/>
    <w:multiLevelType w:val="multilevel"/>
    <w:tmpl w:val="5C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6BBF"/>
    <w:multiLevelType w:val="multilevel"/>
    <w:tmpl w:val="A65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E38"/>
    <w:multiLevelType w:val="multilevel"/>
    <w:tmpl w:val="B9D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7C90"/>
    <w:multiLevelType w:val="multilevel"/>
    <w:tmpl w:val="C23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6427"/>
    <w:multiLevelType w:val="multilevel"/>
    <w:tmpl w:val="E70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41063"/>
    <w:multiLevelType w:val="multilevel"/>
    <w:tmpl w:val="CCB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6316D"/>
    <w:multiLevelType w:val="multilevel"/>
    <w:tmpl w:val="DD4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A3632"/>
    <w:multiLevelType w:val="multilevel"/>
    <w:tmpl w:val="92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6390"/>
    <w:multiLevelType w:val="multilevel"/>
    <w:tmpl w:val="9C2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12185"/>
    <w:multiLevelType w:val="multilevel"/>
    <w:tmpl w:val="22B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E0B09"/>
    <w:multiLevelType w:val="multilevel"/>
    <w:tmpl w:val="FB3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B19B6"/>
    <w:multiLevelType w:val="multilevel"/>
    <w:tmpl w:val="118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F4465"/>
    <w:multiLevelType w:val="multilevel"/>
    <w:tmpl w:val="1A8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B1FEC"/>
    <w:multiLevelType w:val="multilevel"/>
    <w:tmpl w:val="C29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43E87"/>
    <w:multiLevelType w:val="hybridMultilevel"/>
    <w:tmpl w:val="07582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53314"/>
    <w:multiLevelType w:val="multilevel"/>
    <w:tmpl w:val="A3A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E271C"/>
    <w:multiLevelType w:val="multilevel"/>
    <w:tmpl w:val="39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B3B03"/>
    <w:multiLevelType w:val="multilevel"/>
    <w:tmpl w:val="61AA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47DC6"/>
    <w:multiLevelType w:val="multilevel"/>
    <w:tmpl w:val="D67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60703"/>
    <w:multiLevelType w:val="multilevel"/>
    <w:tmpl w:val="48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367D3"/>
    <w:multiLevelType w:val="multilevel"/>
    <w:tmpl w:val="CD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705F3"/>
    <w:multiLevelType w:val="multilevel"/>
    <w:tmpl w:val="C8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F7DA6"/>
    <w:multiLevelType w:val="multilevel"/>
    <w:tmpl w:val="25B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8091C"/>
    <w:multiLevelType w:val="hybridMultilevel"/>
    <w:tmpl w:val="67D84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1D56EC"/>
    <w:multiLevelType w:val="multilevel"/>
    <w:tmpl w:val="DF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637FD"/>
    <w:multiLevelType w:val="multilevel"/>
    <w:tmpl w:val="570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961F4"/>
    <w:multiLevelType w:val="multilevel"/>
    <w:tmpl w:val="580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80C8D"/>
    <w:multiLevelType w:val="multilevel"/>
    <w:tmpl w:val="6B2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877FA"/>
    <w:multiLevelType w:val="multilevel"/>
    <w:tmpl w:val="05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647988">
    <w:abstractNumId w:val="13"/>
  </w:num>
  <w:num w:numId="2" w16cid:durableId="1252739474">
    <w:abstractNumId w:val="9"/>
  </w:num>
  <w:num w:numId="3" w16cid:durableId="1448507982">
    <w:abstractNumId w:val="11"/>
  </w:num>
  <w:num w:numId="4" w16cid:durableId="1927760591">
    <w:abstractNumId w:val="19"/>
  </w:num>
  <w:num w:numId="5" w16cid:durableId="1586260822">
    <w:abstractNumId w:val="6"/>
  </w:num>
  <w:num w:numId="6" w16cid:durableId="436995491">
    <w:abstractNumId w:val="1"/>
  </w:num>
  <w:num w:numId="7" w16cid:durableId="778597932">
    <w:abstractNumId w:val="21"/>
  </w:num>
  <w:num w:numId="8" w16cid:durableId="586037048">
    <w:abstractNumId w:val="27"/>
  </w:num>
  <w:num w:numId="9" w16cid:durableId="1465544048">
    <w:abstractNumId w:val="22"/>
  </w:num>
  <w:num w:numId="10" w16cid:durableId="1367293111">
    <w:abstractNumId w:val="10"/>
  </w:num>
  <w:num w:numId="11" w16cid:durableId="1709524327">
    <w:abstractNumId w:val="24"/>
  </w:num>
  <w:num w:numId="12" w16cid:durableId="1913082351">
    <w:abstractNumId w:val="15"/>
  </w:num>
  <w:num w:numId="13" w16cid:durableId="1206596669">
    <w:abstractNumId w:val="20"/>
  </w:num>
  <w:num w:numId="14" w16cid:durableId="958102230">
    <w:abstractNumId w:val="17"/>
  </w:num>
  <w:num w:numId="15" w16cid:durableId="2084328646">
    <w:abstractNumId w:val="12"/>
  </w:num>
  <w:num w:numId="16" w16cid:durableId="2124381363">
    <w:abstractNumId w:val="25"/>
  </w:num>
  <w:num w:numId="17" w16cid:durableId="1945266927">
    <w:abstractNumId w:val="7"/>
  </w:num>
  <w:num w:numId="18" w16cid:durableId="609513285">
    <w:abstractNumId w:val="4"/>
  </w:num>
  <w:num w:numId="19" w16cid:durableId="735973520">
    <w:abstractNumId w:val="0"/>
  </w:num>
  <w:num w:numId="20" w16cid:durableId="623467449">
    <w:abstractNumId w:val="2"/>
  </w:num>
  <w:num w:numId="21" w16cid:durableId="392049887">
    <w:abstractNumId w:val="5"/>
  </w:num>
  <w:num w:numId="22" w16cid:durableId="586766027">
    <w:abstractNumId w:val="8"/>
  </w:num>
  <w:num w:numId="23" w16cid:durableId="1598905992">
    <w:abstractNumId w:val="28"/>
  </w:num>
  <w:num w:numId="24" w16cid:durableId="1571647948">
    <w:abstractNumId w:val="23"/>
  </w:num>
  <w:num w:numId="25" w16cid:durableId="220291143">
    <w:abstractNumId w:val="14"/>
  </w:num>
  <w:num w:numId="26" w16cid:durableId="1081218197">
    <w:abstractNumId w:val="16"/>
  </w:num>
  <w:num w:numId="27" w16cid:durableId="589974742">
    <w:abstractNumId w:val="18"/>
  </w:num>
  <w:num w:numId="28" w16cid:durableId="600794313">
    <w:abstractNumId w:val="26"/>
  </w:num>
  <w:num w:numId="29" w16cid:durableId="258223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7"/>
    <w:rsid w:val="000F7CE6"/>
    <w:rsid w:val="001F21E1"/>
    <w:rsid w:val="002762B6"/>
    <w:rsid w:val="0035491D"/>
    <w:rsid w:val="0043291B"/>
    <w:rsid w:val="00626557"/>
    <w:rsid w:val="00D32200"/>
    <w:rsid w:val="00D47216"/>
    <w:rsid w:val="00DB5F13"/>
    <w:rsid w:val="00EB04AE"/>
  </w:rsids>
  <m:mathPr>
    <m:mathFont m:val="Cambria Math"/>
    <m:brkBin m:val="before"/>
    <m:brkBinSub m:val="--"/>
    <m:smallFrac m:val="0"/>
    <m:dispDef/>
    <m:lMargin m:val="0"/>
    <m:rMargin m:val="0"/>
    <m:defJc m:val="centerGroup"/>
    <m:wrapIndent m:val="1440"/>
    <m:intLim m:val="subSup"/>
    <m:naryLim m:val="undOvr"/>
  </m:mathPr>
  <w:themeFontLang w:val="en-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73E3"/>
  <w15:chartTrackingRefBased/>
  <w15:docId w15:val="{F3D66B15-EF39-D249-A223-2CF21550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57"/>
    <w:rPr>
      <w:rFonts w:eastAsiaTheme="majorEastAsia" w:cstheme="majorBidi"/>
      <w:color w:val="272727" w:themeColor="text1" w:themeTint="D8"/>
    </w:rPr>
  </w:style>
  <w:style w:type="paragraph" w:styleId="Title">
    <w:name w:val="Title"/>
    <w:basedOn w:val="Normal"/>
    <w:next w:val="Normal"/>
    <w:link w:val="TitleChar"/>
    <w:uiPriority w:val="10"/>
    <w:qFormat/>
    <w:rsid w:val="0062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57"/>
    <w:pPr>
      <w:spacing w:before="160"/>
      <w:jc w:val="center"/>
    </w:pPr>
    <w:rPr>
      <w:i/>
      <w:iCs/>
      <w:color w:val="404040" w:themeColor="text1" w:themeTint="BF"/>
    </w:rPr>
  </w:style>
  <w:style w:type="character" w:customStyle="1" w:styleId="QuoteChar">
    <w:name w:val="Quote Char"/>
    <w:basedOn w:val="DefaultParagraphFont"/>
    <w:link w:val="Quote"/>
    <w:uiPriority w:val="29"/>
    <w:rsid w:val="00626557"/>
    <w:rPr>
      <w:i/>
      <w:iCs/>
      <w:color w:val="404040" w:themeColor="text1" w:themeTint="BF"/>
    </w:rPr>
  </w:style>
  <w:style w:type="paragraph" w:styleId="ListParagraph">
    <w:name w:val="List Paragraph"/>
    <w:basedOn w:val="Normal"/>
    <w:uiPriority w:val="34"/>
    <w:qFormat/>
    <w:rsid w:val="00626557"/>
    <w:pPr>
      <w:ind w:left="720"/>
      <w:contextualSpacing/>
    </w:pPr>
  </w:style>
  <w:style w:type="character" w:styleId="IntenseEmphasis">
    <w:name w:val="Intense Emphasis"/>
    <w:basedOn w:val="DefaultParagraphFont"/>
    <w:uiPriority w:val="21"/>
    <w:qFormat/>
    <w:rsid w:val="00626557"/>
    <w:rPr>
      <w:i/>
      <w:iCs/>
      <w:color w:val="0F4761" w:themeColor="accent1" w:themeShade="BF"/>
    </w:rPr>
  </w:style>
  <w:style w:type="paragraph" w:styleId="IntenseQuote">
    <w:name w:val="Intense Quote"/>
    <w:basedOn w:val="Normal"/>
    <w:next w:val="Normal"/>
    <w:link w:val="IntenseQuoteChar"/>
    <w:uiPriority w:val="30"/>
    <w:qFormat/>
    <w:rsid w:val="0062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557"/>
    <w:rPr>
      <w:i/>
      <w:iCs/>
      <w:color w:val="0F4761" w:themeColor="accent1" w:themeShade="BF"/>
    </w:rPr>
  </w:style>
  <w:style w:type="character" w:styleId="IntenseReference">
    <w:name w:val="Intense Reference"/>
    <w:basedOn w:val="DefaultParagraphFont"/>
    <w:uiPriority w:val="32"/>
    <w:qFormat/>
    <w:rsid w:val="00626557"/>
    <w:rPr>
      <w:b/>
      <w:bCs/>
      <w:smallCaps/>
      <w:color w:val="0F4761" w:themeColor="accent1" w:themeShade="BF"/>
      <w:spacing w:val="5"/>
    </w:rPr>
  </w:style>
  <w:style w:type="character" w:styleId="Strong">
    <w:name w:val="Strong"/>
    <w:basedOn w:val="DefaultParagraphFont"/>
    <w:uiPriority w:val="22"/>
    <w:qFormat/>
    <w:rsid w:val="00626557"/>
    <w:rPr>
      <w:b/>
      <w:bCs/>
    </w:rPr>
  </w:style>
  <w:style w:type="paragraph" w:styleId="NormalWeb">
    <w:name w:val="Normal (Web)"/>
    <w:basedOn w:val="Normal"/>
    <w:uiPriority w:val="99"/>
    <w:unhideWhenUsed/>
    <w:rsid w:val="00626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6557"/>
    <w:rPr>
      <w:i/>
      <w:iCs/>
    </w:rPr>
  </w:style>
  <w:style w:type="character" w:styleId="HTMLCode">
    <w:name w:val="HTML Code"/>
    <w:basedOn w:val="DefaultParagraphFont"/>
    <w:uiPriority w:val="99"/>
    <w:semiHidden/>
    <w:unhideWhenUsed/>
    <w:rsid w:val="00626557"/>
    <w:rPr>
      <w:rFonts w:ascii="Courier New" w:eastAsia="Times New Roman" w:hAnsi="Courier New" w:cs="Courier New"/>
      <w:sz w:val="20"/>
      <w:szCs w:val="20"/>
    </w:rPr>
  </w:style>
  <w:style w:type="table" w:styleId="TableGrid">
    <w:name w:val="Table Grid"/>
    <w:basedOn w:val="TableNormal"/>
    <w:uiPriority w:val="39"/>
    <w:rsid w:val="0062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B0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AE"/>
  </w:style>
  <w:style w:type="character" w:styleId="PageNumber">
    <w:name w:val="page number"/>
    <w:basedOn w:val="DefaultParagraphFont"/>
    <w:uiPriority w:val="99"/>
    <w:semiHidden/>
    <w:unhideWhenUsed/>
    <w:rsid w:val="00EB0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43F40-B442-2747-A628-701482279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Nia</dc:creator>
  <cp:keywords/>
  <dc:description/>
  <cp:lastModifiedBy>Ramzi Nia</cp:lastModifiedBy>
  <cp:revision>3</cp:revision>
  <dcterms:created xsi:type="dcterms:W3CDTF">2025-12-04T00:12:00Z</dcterms:created>
  <dcterms:modified xsi:type="dcterms:W3CDTF">2025-12-04T00:18:00Z</dcterms:modified>
</cp:coreProperties>
</file>