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59364" w14:textId="77777777" w:rsidR="00423A6A" w:rsidRDefault="00423A6A" w:rsidP="00423A6A">
      <w:pPr>
        <w:spacing w:before="100" w:beforeAutospacing="1" w:after="100" w:afterAutospacing="1" w:line="240" w:lineRule="auto"/>
        <w:jc w:val="center"/>
        <w:outlineLvl w:val="0"/>
        <w:rPr>
          <w:rFonts w:asciiTheme="majorBidi" w:eastAsia="Times New Roman" w:hAnsiTheme="majorBidi" w:cstheme="majorBidi"/>
          <w:b/>
          <w:bCs/>
          <w:kern w:val="0"/>
          <w:sz w:val="40"/>
          <w:szCs w:val="40"/>
          <w:lang w:val="en-US"/>
          <w14:ligatures w14:val="none"/>
        </w:rPr>
      </w:pPr>
      <w:r w:rsidRPr="006D0C7C">
        <w:rPr>
          <w:rFonts w:asciiTheme="majorBidi" w:eastAsia="Times New Roman" w:hAnsiTheme="majorBidi" w:cstheme="majorBidi"/>
          <w:b/>
          <w:bCs/>
          <w:kern w:val="0"/>
          <w:sz w:val="40"/>
          <w:szCs w:val="40"/>
          <w14:ligatures w14:val="none"/>
        </w:rPr>
        <w:t>Income and Liquor Spending Behavior Across Iowa Counties: A Data-Driven Policy Analysis</w:t>
      </w:r>
    </w:p>
    <w:p w14:paraId="786434EC" w14:textId="77777777" w:rsidR="00423A6A" w:rsidRPr="00626557" w:rsidRDefault="00423A6A" w:rsidP="00423A6A">
      <w:pPr>
        <w:spacing w:after="100" w:afterAutospacing="1" w:line="240" w:lineRule="auto"/>
        <w:jc w:val="center"/>
        <w:outlineLvl w:val="0"/>
        <w:rPr>
          <w:rFonts w:asciiTheme="majorBidi" w:eastAsia="Times New Roman" w:hAnsiTheme="majorBidi" w:cstheme="majorBidi"/>
          <w:b/>
          <w:bCs/>
          <w:kern w:val="36"/>
          <w:sz w:val="48"/>
          <w:szCs w:val="48"/>
          <w14:ligatures w14:val="none"/>
        </w:rPr>
      </w:pPr>
      <w:r w:rsidRPr="006D0C7C">
        <w:rPr>
          <w:rFonts w:asciiTheme="majorBidi" w:eastAsia="Times New Roman" w:hAnsiTheme="majorBidi" w:cstheme="majorBidi"/>
          <w:kern w:val="36"/>
          <w:sz w:val="32"/>
          <w:szCs w:val="32"/>
          <w:lang w:val="en-US"/>
          <w14:ligatures w14:val="none"/>
        </w:rPr>
        <w:t xml:space="preserve">ADEC 7900: </w:t>
      </w:r>
      <w:r w:rsidRPr="006D0C7C">
        <w:rPr>
          <w:rFonts w:asciiTheme="majorBidi" w:eastAsia="Times New Roman" w:hAnsiTheme="majorBidi" w:cstheme="majorBidi"/>
          <w:kern w:val="36"/>
          <w:sz w:val="32"/>
          <w:szCs w:val="32"/>
          <w14:ligatures w14:val="none"/>
        </w:rPr>
        <w:t>Course Project Final Report</w:t>
      </w:r>
    </w:p>
    <w:p w14:paraId="374F3A85" w14:textId="77777777" w:rsidR="00423A6A" w:rsidRPr="006D0C7C" w:rsidRDefault="00423A6A" w:rsidP="00423A6A">
      <w:pPr>
        <w:spacing w:before="100" w:beforeAutospacing="1" w:after="100" w:afterAutospacing="1" w:line="240" w:lineRule="auto"/>
        <w:jc w:val="center"/>
        <w:rPr>
          <w:rFonts w:asciiTheme="majorBidi" w:eastAsia="Times New Roman" w:hAnsiTheme="majorBidi" w:cstheme="majorBidi"/>
          <w:kern w:val="0"/>
          <w:sz w:val="28"/>
          <w:szCs w:val="28"/>
          <w14:ligatures w14:val="none"/>
        </w:rPr>
      </w:pPr>
      <w:r w:rsidRPr="006D0C7C">
        <w:rPr>
          <w:rFonts w:asciiTheme="majorBidi" w:eastAsia="Times New Roman" w:hAnsiTheme="majorBidi" w:cstheme="majorBidi"/>
          <w:b/>
          <w:bCs/>
          <w:kern w:val="0"/>
          <w:sz w:val="28"/>
          <w:szCs w:val="28"/>
          <w14:ligatures w14:val="none"/>
        </w:rPr>
        <w:t>Prepared by:</w:t>
      </w:r>
      <w:r w:rsidRPr="006D0C7C">
        <w:rPr>
          <w:rFonts w:asciiTheme="majorBidi" w:eastAsia="Times New Roman" w:hAnsiTheme="majorBidi" w:cstheme="majorBidi"/>
          <w:kern w:val="0"/>
          <w:sz w:val="28"/>
          <w:szCs w:val="28"/>
          <w14:ligatures w14:val="none"/>
        </w:rPr>
        <w:t xml:space="preserve">   Shreyansh Budhia, William Brewster, and Ramzi Nia</w:t>
      </w:r>
    </w:p>
    <w:p w14:paraId="1C45B483" w14:textId="0FFBDAC4"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 xml:space="preserve">1. Introduction </w:t>
      </w:r>
    </w:p>
    <w:p w14:paraId="392ABC37" w14:textId="1CF7626B"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Our analysis was conducted for </w:t>
      </w:r>
      <w:r w:rsidR="004F77FB">
        <w:rPr>
          <w:rFonts w:asciiTheme="majorBidi" w:eastAsia="Times New Roman" w:hAnsiTheme="majorBidi" w:cstheme="majorBidi"/>
          <w:kern w:val="0"/>
          <w14:ligatures w14:val="none"/>
        </w:rPr>
        <w:t>the</w:t>
      </w:r>
      <w:r w:rsidRPr="00626557">
        <w:rPr>
          <w:rFonts w:asciiTheme="majorBidi" w:eastAsia="Times New Roman" w:hAnsiTheme="majorBidi" w:cstheme="majorBidi"/>
          <w:kern w:val="0"/>
          <w14:ligatures w14:val="none"/>
        </w:rPr>
        <w:t xml:space="preserve"> </w:t>
      </w:r>
      <w:r w:rsidR="004F77FB" w:rsidRPr="004F77FB">
        <w:rPr>
          <w:rFonts w:asciiTheme="majorBidi" w:eastAsia="Times New Roman" w:hAnsiTheme="majorBidi" w:cstheme="majorBidi"/>
          <w:b/>
          <w:bCs/>
          <w:kern w:val="0"/>
          <w14:ligatures w14:val="none"/>
        </w:rPr>
        <w:t>Executive Director of the Iowa Department of Public Health</w:t>
      </w:r>
      <w:r w:rsidRPr="00626557">
        <w:rPr>
          <w:rFonts w:asciiTheme="majorBidi" w:eastAsia="Times New Roman" w:hAnsiTheme="majorBidi" w:cstheme="majorBidi"/>
          <w:kern w:val="0"/>
          <w14:ligatures w14:val="none"/>
        </w:rPr>
        <w:t>,</w:t>
      </w:r>
      <w:r w:rsidR="004F77FB">
        <w:rPr>
          <w:rFonts w:asciiTheme="majorBidi" w:eastAsia="Times New Roman" w:hAnsiTheme="majorBidi" w:cstheme="majorBidi"/>
          <w:kern w:val="0"/>
          <w14:ligatures w14:val="none"/>
        </w:rPr>
        <w:t xml:space="preserve"> namely Mr. Larry Johnson</w:t>
      </w:r>
      <w:r w:rsidRPr="00626557">
        <w:rPr>
          <w:rFonts w:asciiTheme="majorBidi" w:eastAsia="Times New Roman" w:hAnsiTheme="majorBidi" w:cstheme="majorBidi"/>
          <w:kern w:val="0"/>
          <w14:ligatures w14:val="none"/>
        </w:rPr>
        <w:t xml:space="preserve">. </w:t>
      </w:r>
      <w:r w:rsidR="004F77FB">
        <w:rPr>
          <w:rFonts w:asciiTheme="majorBidi" w:eastAsia="Times New Roman" w:hAnsiTheme="majorBidi" w:cstheme="majorBidi"/>
          <w:kern w:val="0"/>
          <w14:ligatures w14:val="none"/>
        </w:rPr>
        <w:t>His</w:t>
      </w:r>
      <w:r w:rsidRPr="00626557">
        <w:rPr>
          <w:rFonts w:asciiTheme="majorBidi" w:eastAsia="Times New Roman" w:hAnsiTheme="majorBidi" w:cstheme="majorBidi"/>
          <w:kern w:val="0"/>
          <w14:ligatures w14:val="none"/>
        </w:rPr>
        <w:t xml:space="preserve"> organization operate</w:t>
      </w:r>
      <w:r w:rsidR="004F77FB">
        <w:rPr>
          <w:rFonts w:asciiTheme="majorBidi" w:eastAsia="Times New Roman" w:hAnsiTheme="majorBidi" w:cstheme="majorBidi"/>
          <w:kern w:val="0"/>
          <w14:ligatures w14:val="none"/>
        </w:rPr>
        <w:t>s</w:t>
      </w:r>
      <w:r w:rsidRPr="00626557">
        <w:rPr>
          <w:rFonts w:asciiTheme="majorBidi" w:eastAsia="Times New Roman" w:hAnsiTheme="majorBidi" w:cstheme="majorBidi"/>
          <w:kern w:val="0"/>
          <w14:ligatures w14:val="none"/>
        </w:rPr>
        <w:t xml:space="preserve"> in a decision environment that balances </w:t>
      </w:r>
      <w:r w:rsidRPr="00626557">
        <w:rPr>
          <w:rFonts w:asciiTheme="majorBidi" w:eastAsia="Times New Roman" w:hAnsiTheme="majorBidi" w:cstheme="majorBidi"/>
          <w:b/>
          <w:bCs/>
          <w:kern w:val="0"/>
          <w14:ligatures w14:val="none"/>
        </w:rPr>
        <w:t>economic revenue generation</w:t>
      </w:r>
      <w:r w:rsidRPr="00626557">
        <w:rPr>
          <w:rFonts w:asciiTheme="majorBidi" w:eastAsia="Times New Roman" w:hAnsiTheme="majorBidi" w:cstheme="majorBidi"/>
          <w:kern w:val="0"/>
          <w14:ligatures w14:val="none"/>
        </w:rPr>
        <w:t xml:space="preserve">, </w:t>
      </w:r>
      <w:r w:rsidRPr="00626557">
        <w:rPr>
          <w:rFonts w:asciiTheme="majorBidi" w:eastAsia="Times New Roman" w:hAnsiTheme="majorBidi" w:cstheme="majorBidi"/>
          <w:b/>
          <w:bCs/>
          <w:kern w:val="0"/>
          <w14:ligatures w14:val="none"/>
        </w:rPr>
        <w:t>public health concerns</w:t>
      </w:r>
      <w:r w:rsidRPr="00626557">
        <w:rPr>
          <w:rFonts w:asciiTheme="majorBidi" w:eastAsia="Times New Roman" w:hAnsiTheme="majorBidi" w:cstheme="majorBidi"/>
          <w:kern w:val="0"/>
          <w14:ligatures w14:val="none"/>
        </w:rPr>
        <w:t xml:space="preserve">, and </w:t>
      </w:r>
      <w:r w:rsidRPr="00626557">
        <w:rPr>
          <w:rFonts w:asciiTheme="majorBidi" w:eastAsia="Times New Roman" w:hAnsiTheme="majorBidi" w:cstheme="majorBidi"/>
          <w:b/>
          <w:bCs/>
          <w:kern w:val="0"/>
          <w14:ligatures w14:val="none"/>
        </w:rPr>
        <w:t>community well-being</w:t>
      </w:r>
      <w:r w:rsidRPr="00626557">
        <w:rPr>
          <w:rFonts w:asciiTheme="majorBidi" w:eastAsia="Times New Roman" w:hAnsiTheme="majorBidi" w:cstheme="majorBidi"/>
          <w:kern w:val="0"/>
          <w14:ligatures w14:val="none"/>
        </w:rPr>
        <w:t>. Liquor sales represent a major source of state revenue, but alcohol consumption is also associated with long-term public health and social costs.</w:t>
      </w:r>
    </w:p>
    <w:p w14:paraId="37834D6B"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broader decision climate is influenced by:</w:t>
      </w:r>
    </w:p>
    <w:p w14:paraId="433DC7A1"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Rising healthcare expenditures,</w:t>
      </w:r>
    </w:p>
    <w:p w14:paraId="34204973"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concerns over substance abuse,</w:t>
      </w:r>
    </w:p>
    <w:p w14:paraId="55AE9213"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debates over how alcohol access and taxation should be structured across income groups and geographic regions.</w:t>
      </w:r>
    </w:p>
    <w:p w14:paraId="2526BFD1"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Research Question</w:t>
      </w:r>
    </w:p>
    <w:p w14:paraId="5A997164"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Is there a meaningful relationship between median household income and liquor spending per capita across Iowa counties?</w:t>
      </w:r>
    </w:p>
    <w:p w14:paraId="4B9FF992"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Policy Relevance</w:t>
      </w:r>
    </w:p>
    <w:p w14:paraId="533633A0"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Understanding whether higher-income counties consume more alcohol on a per-person basis helps decision makers:</w:t>
      </w:r>
    </w:p>
    <w:p w14:paraId="616755F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Evaluate the </w:t>
      </w:r>
      <w:r w:rsidRPr="00626557">
        <w:rPr>
          <w:rFonts w:asciiTheme="majorBidi" w:eastAsia="Times New Roman" w:hAnsiTheme="majorBidi" w:cstheme="majorBidi"/>
          <w:b/>
          <w:bCs/>
          <w:kern w:val="0"/>
          <w14:ligatures w14:val="none"/>
        </w:rPr>
        <w:t>equity of alcohol taxation policies</w:t>
      </w:r>
      <w:r w:rsidRPr="00626557">
        <w:rPr>
          <w:rFonts w:asciiTheme="majorBidi" w:eastAsia="Times New Roman" w:hAnsiTheme="majorBidi" w:cstheme="majorBidi"/>
          <w:kern w:val="0"/>
          <w14:ligatures w14:val="none"/>
        </w:rPr>
        <w:t>,</w:t>
      </w:r>
    </w:p>
    <w:p w14:paraId="5458F01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Identify whether alcohol consumption burdens fall disproportionately on certain income groups,</w:t>
      </w:r>
    </w:p>
    <w:p w14:paraId="72FE9D2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And determine where </w:t>
      </w:r>
      <w:r w:rsidRPr="00626557">
        <w:rPr>
          <w:rFonts w:asciiTheme="majorBidi" w:eastAsia="Times New Roman" w:hAnsiTheme="majorBidi" w:cstheme="majorBidi"/>
          <w:b/>
          <w:bCs/>
          <w:kern w:val="0"/>
          <w14:ligatures w14:val="none"/>
        </w:rPr>
        <w:t>education, prevention, or regulatory resources</w:t>
      </w:r>
      <w:r w:rsidRPr="00626557">
        <w:rPr>
          <w:rFonts w:asciiTheme="majorBidi" w:eastAsia="Times New Roman" w:hAnsiTheme="majorBidi" w:cstheme="majorBidi"/>
          <w:kern w:val="0"/>
          <w14:ligatures w14:val="none"/>
        </w:rPr>
        <w:t xml:space="preserve"> should be targeted.</w:t>
      </w:r>
    </w:p>
    <w:p w14:paraId="2CDEFCD7"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Policy decisions based on this analysis affect:</w:t>
      </w:r>
    </w:p>
    <w:p w14:paraId="019695B5"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State revenue collection,</w:t>
      </w:r>
    </w:p>
    <w:p w14:paraId="08F9ECD1"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health planning,</w:t>
      </w:r>
    </w:p>
    <w:p w14:paraId="76FEB9E8"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long-term community outcomes related to alcohol misuse.</w:t>
      </w:r>
    </w:p>
    <w:p w14:paraId="252EF687" w14:textId="7331C8C5" w:rsidR="00626557" w:rsidRPr="00626557" w:rsidRDefault="00626557" w:rsidP="00626557">
      <w:pPr>
        <w:spacing w:after="0" w:line="240" w:lineRule="auto"/>
        <w:rPr>
          <w:rFonts w:asciiTheme="majorBidi" w:eastAsia="Times New Roman" w:hAnsiTheme="majorBidi" w:cstheme="majorBidi"/>
          <w:kern w:val="0"/>
          <w14:ligatures w14:val="none"/>
        </w:rPr>
      </w:pPr>
    </w:p>
    <w:p w14:paraId="15B450DE" w14:textId="57CAE1B7"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 xml:space="preserve">2. Data Summary </w:t>
      </w:r>
    </w:p>
    <w:p w14:paraId="79E8AB44" w14:textId="77777777" w:rsidR="000F7CE6" w:rsidRDefault="000F7CE6" w:rsidP="000F7CE6">
      <w:p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This study integrates two primary datasets covering all 99 Iowa counties. The liquor sales dataset (2020) reports total sales revenue, product category, and sales volume at the county level. The American Community Survey dataset (2019) provides median household income and population by county. The final merged dataset contains observations for all 99 counties.</w:t>
      </w:r>
    </w:p>
    <w:p w14:paraId="6DFF4F01" w14:textId="77777777" w:rsidR="000F7CE6" w:rsidRPr="00626557" w:rsidRDefault="000F7CE6" w:rsidP="000F7CE6">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Each observation represents aggregated sales for a specific product category within a county. Because counties vary widely in population size, direct comparison of total sales alone would introduce </w:t>
      </w:r>
      <w:r w:rsidRPr="00626557">
        <w:rPr>
          <w:rFonts w:asciiTheme="majorBidi" w:eastAsia="Times New Roman" w:hAnsiTheme="majorBidi" w:cstheme="majorBidi"/>
          <w:b/>
          <w:bCs/>
          <w:kern w:val="0"/>
          <w14:ligatures w14:val="none"/>
        </w:rPr>
        <w:t>population bias</w:t>
      </w:r>
      <w:r w:rsidRPr="00626557">
        <w:rPr>
          <w:rFonts w:asciiTheme="majorBidi" w:eastAsia="Times New Roman" w:hAnsiTheme="majorBidi" w:cstheme="majorBidi"/>
          <w:kern w:val="0"/>
          <w14:ligatures w14:val="none"/>
        </w:rPr>
        <w:t>.</w:t>
      </w:r>
    </w:p>
    <w:p w14:paraId="418F147D" w14:textId="73AE0F74"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Liquor Sales Dataset (2020)</w:t>
      </w:r>
    </w:p>
    <w:p w14:paraId="2911CFF6"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dataset contains county-level liquor sales information broken down by product category. Key variables include:</w:t>
      </w:r>
    </w:p>
    <w:p w14:paraId="6FA335C6" w14:textId="77777777" w:rsidR="000F7CE6" w:rsidRDefault="000F7CE6" w:rsidP="000F7CE6">
      <w:pPr>
        <w:pStyle w:val="ListParagraph"/>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990 transaction-level observations</w:t>
      </w:r>
    </w:p>
    <w:p w14:paraId="792B9572" w14:textId="77777777" w:rsidR="000F7CE6" w:rsidRDefault="000F7CE6" w:rsidP="000F7CE6">
      <w:pPr>
        <w:pStyle w:val="ListParagraph"/>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Key fields:</w:t>
      </w:r>
    </w:p>
    <w:p w14:paraId="28A1D4AF" w14:textId="51AB6F91" w:rsidR="000F7CE6" w:rsidRPr="00D32200" w:rsidRDefault="000F7CE6"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C</w:t>
      </w:r>
      <w:r w:rsidR="00626557" w:rsidRPr="00D32200">
        <w:rPr>
          <w:rFonts w:asciiTheme="majorBidi" w:eastAsia="Times New Roman" w:hAnsiTheme="majorBidi" w:cstheme="majorBidi"/>
          <w:kern w:val="0"/>
          <w14:ligatures w14:val="none"/>
        </w:rPr>
        <w:t>ounty</w:t>
      </w:r>
    </w:p>
    <w:p w14:paraId="5B299B9A" w14:textId="77777777" w:rsidR="000F7CE6"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sale.dollars</w:t>
      </w:r>
    </w:p>
    <w:p w14:paraId="0B3DCCC2" w14:textId="77777777" w:rsidR="000F7CE6"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sale.volume</w:t>
      </w:r>
    </w:p>
    <w:p w14:paraId="68671A31" w14:textId="6B969778" w:rsidR="00626557"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category</w:t>
      </w:r>
    </w:p>
    <w:p w14:paraId="6F482C57"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American Community Survey Dataset (2019)</w:t>
      </w:r>
    </w:p>
    <w:p w14:paraId="3ED9FD31"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ACS dataset provides socioeconomic indicators at the county level. Variables used include:</w:t>
      </w:r>
    </w:p>
    <w:p w14:paraId="0ECD74E2" w14:textId="77777777" w:rsidR="00D32200" w:rsidRDefault="00D32200" w:rsidP="00D32200">
      <w:pPr>
        <w:pStyle w:val="ListParagraph"/>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99 Iowa counties</w:t>
      </w:r>
    </w:p>
    <w:p w14:paraId="53A24C49" w14:textId="77777777" w:rsidR="00D32200" w:rsidRDefault="00D32200" w:rsidP="00D32200">
      <w:pPr>
        <w:pStyle w:val="ListParagraph"/>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Key fields:</w:t>
      </w:r>
    </w:p>
    <w:p w14:paraId="00EB6FEE" w14:textId="77777777" w:rsid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income (median household income)</w:t>
      </w:r>
    </w:p>
    <w:p w14:paraId="17DF9F2B" w14:textId="77777777" w:rsid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population</w:t>
      </w:r>
    </w:p>
    <w:p w14:paraId="4036691C" w14:textId="49533330" w:rsidR="00D32200" w:rsidRP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Education, unemployment, and demographic population shares</w:t>
      </w:r>
    </w:p>
    <w:p w14:paraId="674E0953" w14:textId="78E9E938" w:rsidR="00626557" w:rsidRPr="00626557" w:rsidRDefault="00626557" w:rsidP="00D32200">
      <w:pPr>
        <w:spacing w:before="100" w:beforeAutospacing="1" w:after="100" w:afterAutospacing="1" w:line="240" w:lineRule="auto"/>
        <w:rPr>
          <w:rFonts w:asciiTheme="majorBidi" w:eastAsia="Times New Roman" w:hAnsiTheme="majorBidi" w:cstheme="majorBidi"/>
          <w:kern w:val="0"/>
          <w14:ligatures w14:val="none"/>
        </w:rPr>
      </w:pPr>
    </w:p>
    <w:p w14:paraId="42BC02D6"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773AB08"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F3955B1"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45928C2"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1612428B"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38FA257C" w14:textId="7B7D6ED8" w:rsidR="000F7CE6" w:rsidRDefault="000F7CE6"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0F7CE6">
        <w:rPr>
          <w:rFonts w:asciiTheme="majorBidi" w:eastAsia="Times New Roman" w:hAnsiTheme="majorBidi" w:cstheme="majorBidi"/>
          <w:b/>
          <w:bCs/>
          <w:kern w:val="0"/>
          <w:sz w:val="27"/>
          <w:szCs w:val="27"/>
          <w14:ligatures w14:val="none"/>
        </w:rPr>
        <w:t>Table 1. Core Descriptive Statistics for Key Variables</w:t>
      </w:r>
    </w:p>
    <w:tbl>
      <w:tblPr>
        <w:tblStyle w:val="TableGrid"/>
        <w:tblpPr w:leftFromText="180" w:rightFromText="180" w:vertAnchor="page" w:horzAnchor="margin" w:tblpY="2324"/>
        <w:tblW w:w="9350" w:type="dxa"/>
        <w:tblLook w:val="04A0" w:firstRow="1" w:lastRow="0" w:firstColumn="1" w:lastColumn="0" w:noHBand="0" w:noVBand="1"/>
      </w:tblPr>
      <w:tblGrid>
        <w:gridCol w:w="1870"/>
        <w:gridCol w:w="1870"/>
        <w:gridCol w:w="1870"/>
        <w:gridCol w:w="1870"/>
        <w:gridCol w:w="1870"/>
      </w:tblGrid>
      <w:tr w:rsidR="00D32200" w14:paraId="4191C0CF" w14:textId="77777777" w:rsidTr="00D32200">
        <w:tc>
          <w:tcPr>
            <w:tcW w:w="1870" w:type="dxa"/>
          </w:tcPr>
          <w:p w14:paraId="541E456D"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Variable</w:t>
            </w:r>
          </w:p>
        </w:tc>
        <w:tc>
          <w:tcPr>
            <w:tcW w:w="1870" w:type="dxa"/>
          </w:tcPr>
          <w:p w14:paraId="285A380C"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Mean</w:t>
            </w:r>
          </w:p>
        </w:tc>
        <w:tc>
          <w:tcPr>
            <w:tcW w:w="1870" w:type="dxa"/>
          </w:tcPr>
          <w:p w14:paraId="2824E8D8"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Median</w:t>
            </w:r>
          </w:p>
        </w:tc>
        <w:tc>
          <w:tcPr>
            <w:tcW w:w="1870" w:type="dxa"/>
          </w:tcPr>
          <w:p w14:paraId="2B05810F"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Minimum</w:t>
            </w:r>
          </w:p>
        </w:tc>
        <w:tc>
          <w:tcPr>
            <w:tcW w:w="1870" w:type="dxa"/>
          </w:tcPr>
          <w:p w14:paraId="0D34E715"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Maximum</w:t>
            </w:r>
          </w:p>
        </w:tc>
      </w:tr>
      <w:tr w:rsidR="00D32200" w14:paraId="40DB1816" w14:textId="77777777" w:rsidTr="00D32200">
        <w:tc>
          <w:tcPr>
            <w:tcW w:w="1870" w:type="dxa"/>
          </w:tcPr>
          <w:p w14:paraId="0F9E972D"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Median Household Income ($)</w:t>
            </w:r>
          </w:p>
        </w:tc>
        <w:tc>
          <w:tcPr>
            <w:tcW w:w="1870" w:type="dxa"/>
          </w:tcPr>
          <w:p w14:paraId="521A41E2"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29,981.98</w:t>
            </w:r>
          </w:p>
        </w:tc>
        <w:tc>
          <w:tcPr>
            <w:tcW w:w="1870" w:type="dxa"/>
          </w:tcPr>
          <w:p w14:paraId="545E5F34"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30,253.50</w:t>
            </w:r>
          </w:p>
        </w:tc>
        <w:tc>
          <w:tcPr>
            <w:tcW w:w="1870" w:type="dxa"/>
          </w:tcPr>
          <w:p w14:paraId="4377418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18,959.00</w:t>
            </w:r>
          </w:p>
        </w:tc>
        <w:tc>
          <w:tcPr>
            <w:tcW w:w="1870" w:type="dxa"/>
          </w:tcPr>
          <w:p w14:paraId="5118D61E"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43,120.00</w:t>
            </w:r>
          </w:p>
        </w:tc>
      </w:tr>
      <w:tr w:rsidR="00D32200" w14:paraId="1758537C" w14:textId="77777777" w:rsidTr="00D32200">
        <w:tc>
          <w:tcPr>
            <w:tcW w:w="1870" w:type="dxa"/>
          </w:tcPr>
          <w:p w14:paraId="3037E00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Population</w:t>
            </w:r>
          </w:p>
        </w:tc>
        <w:tc>
          <w:tcPr>
            <w:tcW w:w="1870" w:type="dxa"/>
          </w:tcPr>
          <w:p w14:paraId="6A99624C"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31,556.47</w:t>
            </w:r>
          </w:p>
        </w:tc>
        <w:tc>
          <w:tcPr>
            <w:tcW w:w="1870" w:type="dxa"/>
          </w:tcPr>
          <w:p w14:paraId="195CF8F2"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15,606.50</w:t>
            </w:r>
          </w:p>
        </w:tc>
        <w:tc>
          <w:tcPr>
            <w:tcW w:w="1870" w:type="dxa"/>
          </w:tcPr>
          <w:p w14:paraId="1EC70EA5"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3,822.00</w:t>
            </w:r>
          </w:p>
        </w:tc>
        <w:tc>
          <w:tcPr>
            <w:tcW w:w="1870" w:type="dxa"/>
          </w:tcPr>
          <w:p w14:paraId="5589824B"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459,159.00</w:t>
            </w:r>
          </w:p>
        </w:tc>
      </w:tr>
      <w:tr w:rsidR="00D32200" w14:paraId="405AD856" w14:textId="77777777" w:rsidTr="00D32200">
        <w:tc>
          <w:tcPr>
            <w:tcW w:w="1870" w:type="dxa"/>
          </w:tcPr>
          <w:p w14:paraId="3287868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Total Liquor Sales ($)</w:t>
            </w:r>
          </w:p>
        </w:tc>
        <w:tc>
          <w:tcPr>
            <w:tcW w:w="1870" w:type="dxa"/>
          </w:tcPr>
          <w:p w14:paraId="1440B1A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2,680,881.68</w:t>
            </w:r>
          </w:p>
        </w:tc>
        <w:tc>
          <w:tcPr>
            <w:tcW w:w="1870" w:type="dxa"/>
          </w:tcPr>
          <w:p w14:paraId="10EC0786"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782,309.50</w:t>
            </w:r>
          </w:p>
        </w:tc>
        <w:tc>
          <w:tcPr>
            <w:tcW w:w="1870" w:type="dxa"/>
          </w:tcPr>
          <w:p w14:paraId="49E9477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25,053.00</w:t>
            </w:r>
          </w:p>
        </w:tc>
        <w:tc>
          <w:tcPr>
            <w:tcW w:w="1870" w:type="dxa"/>
          </w:tcPr>
          <w:p w14:paraId="15678B6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61,059,636.00</w:t>
            </w:r>
          </w:p>
        </w:tc>
      </w:tr>
      <w:tr w:rsidR="00D32200" w14:paraId="338A1853" w14:textId="77777777" w:rsidTr="00D32200">
        <w:tc>
          <w:tcPr>
            <w:tcW w:w="1870" w:type="dxa"/>
          </w:tcPr>
          <w:p w14:paraId="782A3BBF"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Liquor Dollars Per Capita ($)</w:t>
            </w:r>
          </w:p>
        </w:tc>
        <w:tc>
          <w:tcPr>
            <w:tcW w:w="1870" w:type="dxa"/>
          </w:tcPr>
          <w:p w14:paraId="07430CCB"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58.50</w:t>
            </w:r>
          </w:p>
        </w:tc>
        <w:tc>
          <w:tcPr>
            <w:tcW w:w="1870" w:type="dxa"/>
          </w:tcPr>
          <w:p w14:paraId="324E8BB5"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55.61</w:t>
            </w:r>
          </w:p>
        </w:tc>
        <w:tc>
          <w:tcPr>
            <w:tcW w:w="1870" w:type="dxa"/>
          </w:tcPr>
          <w:p w14:paraId="0A526EEE"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3.57</w:t>
            </w:r>
          </w:p>
        </w:tc>
        <w:tc>
          <w:tcPr>
            <w:tcW w:w="1870" w:type="dxa"/>
          </w:tcPr>
          <w:p w14:paraId="17766194"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220.83</w:t>
            </w:r>
          </w:p>
        </w:tc>
      </w:tr>
    </w:tbl>
    <w:p w14:paraId="10495466" w14:textId="77777777" w:rsidR="000F7CE6" w:rsidRDefault="000F7CE6" w:rsidP="000F7CE6">
      <w:pPr>
        <w:rPr>
          <w:b/>
          <w:bCs/>
        </w:rPr>
      </w:pPr>
    </w:p>
    <w:p w14:paraId="501D5C1A" w14:textId="77777777" w:rsidR="00D32200" w:rsidRDefault="00D32200" w:rsidP="000F7CE6">
      <w:pPr>
        <w:rPr>
          <w:b/>
          <w:bCs/>
        </w:rPr>
      </w:pPr>
    </w:p>
    <w:p w14:paraId="6ED4BC4B" w14:textId="4095DBC8" w:rsidR="000F7CE6" w:rsidRPr="000F7CE6" w:rsidRDefault="000F7CE6" w:rsidP="000F7CE6">
      <w:pPr>
        <w:rPr>
          <w:b/>
          <w:bCs/>
        </w:rPr>
      </w:pPr>
      <w:r w:rsidRPr="000F7CE6">
        <w:rPr>
          <w:b/>
          <w:bCs/>
        </w:rPr>
        <w:t>Table 2. Distribution Detail (10th, 25th, 75th, 90th Percentiles)</w:t>
      </w:r>
    </w:p>
    <w:tbl>
      <w:tblPr>
        <w:tblStyle w:val="TableGrid"/>
        <w:tblW w:w="10798" w:type="dxa"/>
        <w:tblInd w:w="-725" w:type="dxa"/>
        <w:tblLook w:val="04A0" w:firstRow="1" w:lastRow="0" w:firstColumn="1" w:lastColumn="0" w:noHBand="0" w:noVBand="1"/>
      </w:tblPr>
      <w:tblGrid>
        <w:gridCol w:w="1839"/>
        <w:gridCol w:w="1843"/>
        <w:gridCol w:w="1843"/>
        <w:gridCol w:w="1843"/>
        <w:gridCol w:w="1854"/>
        <w:gridCol w:w="1576"/>
      </w:tblGrid>
      <w:tr w:rsidR="000F7CE6" w:rsidRPr="000F7CE6" w14:paraId="67B56438" w14:textId="72A74AEC" w:rsidTr="000F7CE6">
        <w:tc>
          <w:tcPr>
            <w:tcW w:w="1839" w:type="dxa"/>
          </w:tcPr>
          <w:p w14:paraId="35248411" w14:textId="67074672" w:rsidR="000F7CE6" w:rsidRPr="000F7CE6" w:rsidRDefault="000F7CE6" w:rsidP="000F7CE6">
            <w:pPr>
              <w:rPr>
                <w:b/>
                <w:bCs/>
              </w:rPr>
            </w:pPr>
            <w:r w:rsidRPr="000F7CE6">
              <w:rPr>
                <w:b/>
                <w:bCs/>
              </w:rPr>
              <w:t>Variable</w:t>
            </w:r>
          </w:p>
        </w:tc>
        <w:tc>
          <w:tcPr>
            <w:tcW w:w="1843" w:type="dxa"/>
          </w:tcPr>
          <w:p w14:paraId="54EB6028" w14:textId="1D26795B" w:rsidR="000F7CE6" w:rsidRPr="000F7CE6" w:rsidRDefault="000F7CE6" w:rsidP="000F7CE6">
            <w:pPr>
              <w:rPr>
                <w:b/>
                <w:bCs/>
              </w:rPr>
            </w:pPr>
            <w:r w:rsidRPr="000F7CE6">
              <w:rPr>
                <w:b/>
                <w:bCs/>
              </w:rPr>
              <w:t>10%</w:t>
            </w:r>
          </w:p>
        </w:tc>
        <w:tc>
          <w:tcPr>
            <w:tcW w:w="1843" w:type="dxa"/>
          </w:tcPr>
          <w:p w14:paraId="64D4D285" w14:textId="680A47C9" w:rsidR="000F7CE6" w:rsidRPr="000F7CE6" w:rsidRDefault="000F7CE6" w:rsidP="000F7CE6">
            <w:pPr>
              <w:rPr>
                <w:b/>
                <w:bCs/>
              </w:rPr>
            </w:pPr>
            <w:r w:rsidRPr="000F7CE6">
              <w:rPr>
                <w:b/>
                <w:bCs/>
              </w:rPr>
              <w:t>25%</w:t>
            </w:r>
          </w:p>
        </w:tc>
        <w:tc>
          <w:tcPr>
            <w:tcW w:w="1843" w:type="dxa"/>
          </w:tcPr>
          <w:p w14:paraId="539D190C" w14:textId="6D70DEE8" w:rsidR="000F7CE6" w:rsidRPr="000F7CE6" w:rsidRDefault="000F7CE6" w:rsidP="000F7CE6">
            <w:pPr>
              <w:rPr>
                <w:b/>
                <w:bCs/>
              </w:rPr>
            </w:pPr>
            <w:r w:rsidRPr="000F7CE6">
              <w:rPr>
                <w:b/>
                <w:bCs/>
              </w:rPr>
              <w:t>Median</w:t>
            </w:r>
          </w:p>
        </w:tc>
        <w:tc>
          <w:tcPr>
            <w:tcW w:w="1854" w:type="dxa"/>
          </w:tcPr>
          <w:p w14:paraId="4CD6CE4E" w14:textId="1E2451E9" w:rsidR="000F7CE6" w:rsidRPr="000F7CE6" w:rsidRDefault="000F7CE6" w:rsidP="000F7CE6">
            <w:pPr>
              <w:rPr>
                <w:b/>
                <w:bCs/>
              </w:rPr>
            </w:pPr>
            <w:r w:rsidRPr="000F7CE6">
              <w:rPr>
                <w:b/>
                <w:bCs/>
              </w:rPr>
              <w:t>75%</w:t>
            </w:r>
          </w:p>
        </w:tc>
        <w:tc>
          <w:tcPr>
            <w:tcW w:w="1576" w:type="dxa"/>
          </w:tcPr>
          <w:p w14:paraId="16F24329" w14:textId="72671336" w:rsidR="000F7CE6" w:rsidRPr="000F7CE6" w:rsidRDefault="000F7CE6" w:rsidP="000F7CE6">
            <w:pPr>
              <w:rPr>
                <w:b/>
                <w:bCs/>
              </w:rPr>
            </w:pPr>
            <w:r w:rsidRPr="000F7CE6">
              <w:rPr>
                <w:b/>
                <w:bCs/>
              </w:rPr>
              <w:t>90%</w:t>
            </w:r>
          </w:p>
        </w:tc>
      </w:tr>
      <w:tr w:rsidR="000F7CE6" w14:paraId="746F84FA" w14:textId="7758E7F7" w:rsidTr="000F7CE6">
        <w:tc>
          <w:tcPr>
            <w:tcW w:w="1839" w:type="dxa"/>
          </w:tcPr>
          <w:p w14:paraId="34D2A909" w14:textId="15A540EC" w:rsidR="000F7CE6" w:rsidRDefault="000F7CE6" w:rsidP="000F7CE6">
            <w:r>
              <w:t>Income ($)</w:t>
            </w:r>
          </w:p>
        </w:tc>
        <w:tc>
          <w:tcPr>
            <w:tcW w:w="1843" w:type="dxa"/>
          </w:tcPr>
          <w:p w14:paraId="10AB9F4E" w14:textId="7FB86B82" w:rsidR="000F7CE6" w:rsidRDefault="000F7CE6" w:rsidP="000F7CE6">
            <w:r>
              <w:t>26,692.00</w:t>
            </w:r>
          </w:p>
        </w:tc>
        <w:tc>
          <w:tcPr>
            <w:tcW w:w="1843" w:type="dxa"/>
          </w:tcPr>
          <w:p w14:paraId="230B2F6E" w14:textId="610148E5" w:rsidR="000F7CE6" w:rsidRDefault="000F7CE6" w:rsidP="000F7CE6">
            <w:r>
              <w:t>27,907.75</w:t>
            </w:r>
          </w:p>
        </w:tc>
        <w:tc>
          <w:tcPr>
            <w:tcW w:w="1843" w:type="dxa"/>
          </w:tcPr>
          <w:p w14:paraId="7F275C5C" w14:textId="09565DF9" w:rsidR="000F7CE6" w:rsidRDefault="000F7CE6" w:rsidP="000F7CE6">
            <w:r>
              <w:t>30,253.50</w:t>
            </w:r>
          </w:p>
        </w:tc>
        <w:tc>
          <w:tcPr>
            <w:tcW w:w="1854" w:type="dxa"/>
          </w:tcPr>
          <w:p w14:paraId="240F279D" w14:textId="515FD8B2" w:rsidR="000F7CE6" w:rsidRDefault="000F7CE6" w:rsidP="000F7CE6">
            <w:r>
              <w:t>31,374.00</w:t>
            </w:r>
          </w:p>
        </w:tc>
        <w:tc>
          <w:tcPr>
            <w:tcW w:w="1576" w:type="dxa"/>
          </w:tcPr>
          <w:p w14:paraId="28C7D78F" w14:textId="65090A31" w:rsidR="000F7CE6" w:rsidRDefault="000F7CE6" w:rsidP="000F7CE6">
            <w:r>
              <w:t>33,219.00</w:t>
            </w:r>
          </w:p>
        </w:tc>
      </w:tr>
      <w:tr w:rsidR="000F7CE6" w14:paraId="2CD6A1ED" w14:textId="26D8D85D" w:rsidTr="000F7CE6">
        <w:tc>
          <w:tcPr>
            <w:tcW w:w="1839" w:type="dxa"/>
          </w:tcPr>
          <w:p w14:paraId="754D6DF1" w14:textId="2902DBC1" w:rsidR="000F7CE6" w:rsidRDefault="000F7CE6" w:rsidP="000F7CE6">
            <w:r>
              <w:t>Population</w:t>
            </w:r>
          </w:p>
        </w:tc>
        <w:tc>
          <w:tcPr>
            <w:tcW w:w="1843" w:type="dxa"/>
          </w:tcPr>
          <w:p w14:paraId="367FB1F5" w14:textId="6DB53A93" w:rsidR="000F7CE6" w:rsidRDefault="000F7CE6" w:rsidP="000F7CE6">
            <w:r>
              <w:t>7,365.00</w:t>
            </w:r>
          </w:p>
        </w:tc>
        <w:tc>
          <w:tcPr>
            <w:tcW w:w="1843" w:type="dxa"/>
          </w:tcPr>
          <w:p w14:paraId="5BDAE423" w14:textId="5C9513D5" w:rsidR="000F7CE6" w:rsidRDefault="000F7CE6" w:rsidP="000F7CE6">
            <w:r>
              <w:t>10,084.00</w:t>
            </w:r>
          </w:p>
        </w:tc>
        <w:tc>
          <w:tcPr>
            <w:tcW w:w="1843" w:type="dxa"/>
          </w:tcPr>
          <w:p w14:paraId="776EEE46" w14:textId="5E26CB16" w:rsidR="000F7CE6" w:rsidRDefault="000F7CE6" w:rsidP="000F7CE6">
            <w:r>
              <w:t>15,606.50</w:t>
            </w:r>
          </w:p>
        </w:tc>
        <w:tc>
          <w:tcPr>
            <w:tcW w:w="1854" w:type="dxa"/>
          </w:tcPr>
          <w:p w14:paraId="75B7F248" w14:textId="1149FCBD" w:rsidR="000F7CE6" w:rsidRDefault="000F7CE6" w:rsidP="000F7CE6">
            <w:r>
              <w:t>24,894.75</w:t>
            </w:r>
          </w:p>
        </w:tc>
        <w:tc>
          <w:tcPr>
            <w:tcW w:w="1576" w:type="dxa"/>
          </w:tcPr>
          <w:p w14:paraId="67F1241A" w14:textId="5E7187CB" w:rsidR="000F7CE6" w:rsidRDefault="000F7CE6" w:rsidP="000F7CE6">
            <w:r>
              <w:t>57,141.20</w:t>
            </w:r>
          </w:p>
        </w:tc>
      </w:tr>
      <w:tr w:rsidR="000F7CE6" w14:paraId="73DD6C07" w14:textId="44736C3C" w:rsidTr="000F7CE6">
        <w:tc>
          <w:tcPr>
            <w:tcW w:w="1839" w:type="dxa"/>
          </w:tcPr>
          <w:p w14:paraId="410EDEFC" w14:textId="3846324E" w:rsidR="000F7CE6" w:rsidRDefault="000F7CE6" w:rsidP="000F7CE6">
            <w:r>
              <w:t>Sales ($)</w:t>
            </w:r>
          </w:p>
        </w:tc>
        <w:tc>
          <w:tcPr>
            <w:tcW w:w="1843" w:type="dxa"/>
          </w:tcPr>
          <w:p w14:paraId="728D33DF" w14:textId="78049959" w:rsidR="000F7CE6" w:rsidRDefault="000F7CE6" w:rsidP="000F7CE6">
            <w:r>
              <w:t>207,934.70</w:t>
            </w:r>
          </w:p>
        </w:tc>
        <w:tc>
          <w:tcPr>
            <w:tcW w:w="1843" w:type="dxa"/>
          </w:tcPr>
          <w:p w14:paraId="2E0BF969" w14:textId="637BE251" w:rsidR="000F7CE6" w:rsidRDefault="000F7CE6" w:rsidP="000F7CE6">
            <w:r>
              <w:t>443,400.25</w:t>
            </w:r>
          </w:p>
        </w:tc>
        <w:tc>
          <w:tcPr>
            <w:tcW w:w="1843" w:type="dxa"/>
          </w:tcPr>
          <w:p w14:paraId="1C6BED50" w14:textId="22A6285A" w:rsidR="000F7CE6" w:rsidRDefault="000F7CE6" w:rsidP="000F7CE6">
            <w:r>
              <w:t>782,309.50</w:t>
            </w:r>
          </w:p>
        </w:tc>
        <w:tc>
          <w:tcPr>
            <w:tcW w:w="1854" w:type="dxa"/>
          </w:tcPr>
          <w:p w14:paraId="737BEA6E" w14:textId="5B66BFE3" w:rsidR="000F7CE6" w:rsidRDefault="000F7CE6" w:rsidP="000F7CE6">
            <w:r>
              <w:t>1,651,912.00</w:t>
            </w:r>
          </w:p>
        </w:tc>
        <w:tc>
          <w:tcPr>
            <w:tcW w:w="1576" w:type="dxa"/>
          </w:tcPr>
          <w:p w14:paraId="1B0C0C72" w14:textId="0FDC5457" w:rsidR="000F7CE6" w:rsidRDefault="000F7CE6" w:rsidP="000F7CE6">
            <w:r>
              <w:t>4,279,618.80</w:t>
            </w:r>
          </w:p>
        </w:tc>
      </w:tr>
      <w:tr w:rsidR="000F7CE6" w14:paraId="6C31EF3E" w14:textId="129C3E29" w:rsidTr="000F7CE6">
        <w:tc>
          <w:tcPr>
            <w:tcW w:w="1839" w:type="dxa"/>
          </w:tcPr>
          <w:p w14:paraId="1086424E" w14:textId="798105A0" w:rsidR="000F7CE6" w:rsidRDefault="000F7CE6" w:rsidP="000F7CE6">
            <w:r>
              <w:t>Per Capita ($)</w:t>
            </w:r>
          </w:p>
        </w:tc>
        <w:tc>
          <w:tcPr>
            <w:tcW w:w="1843" w:type="dxa"/>
          </w:tcPr>
          <w:p w14:paraId="09AA6442" w14:textId="65C1B11A" w:rsidR="000F7CE6" w:rsidRDefault="000F7CE6" w:rsidP="000F7CE6">
            <w:r>
              <w:t>25.22</w:t>
            </w:r>
          </w:p>
        </w:tc>
        <w:tc>
          <w:tcPr>
            <w:tcW w:w="1843" w:type="dxa"/>
          </w:tcPr>
          <w:p w14:paraId="68D4FB1C" w14:textId="52B41487" w:rsidR="000F7CE6" w:rsidRDefault="000F7CE6" w:rsidP="000F7CE6">
            <w:r>
              <w:t>36.62</w:t>
            </w:r>
          </w:p>
        </w:tc>
        <w:tc>
          <w:tcPr>
            <w:tcW w:w="1843" w:type="dxa"/>
          </w:tcPr>
          <w:p w14:paraId="4DB257C8" w14:textId="61844FF7" w:rsidR="000F7CE6" w:rsidRDefault="000F7CE6" w:rsidP="000F7CE6">
            <w:r>
              <w:t>55.61</w:t>
            </w:r>
          </w:p>
        </w:tc>
        <w:tc>
          <w:tcPr>
            <w:tcW w:w="1854" w:type="dxa"/>
          </w:tcPr>
          <w:p w14:paraId="4DDE821A" w14:textId="2BFC972A" w:rsidR="000F7CE6" w:rsidRDefault="000F7CE6" w:rsidP="000F7CE6">
            <w:r>
              <w:t>71.08</w:t>
            </w:r>
          </w:p>
        </w:tc>
        <w:tc>
          <w:tcPr>
            <w:tcW w:w="1576" w:type="dxa"/>
          </w:tcPr>
          <w:p w14:paraId="0F097959" w14:textId="143FF755" w:rsidR="000F7CE6" w:rsidRDefault="000F7CE6" w:rsidP="000F7CE6">
            <w:r>
              <w:t>95.36</w:t>
            </w:r>
          </w:p>
        </w:tc>
      </w:tr>
    </w:tbl>
    <w:p w14:paraId="665723E1" w14:textId="77777777" w:rsidR="000F7CE6" w:rsidRDefault="000F7CE6" w:rsidP="000F7CE6"/>
    <w:p w14:paraId="37C89656" w14:textId="70E39850" w:rsidR="00626557" w:rsidRPr="00626557" w:rsidRDefault="00626557" w:rsidP="000F7CE6">
      <w:r w:rsidRPr="00626557">
        <w:rPr>
          <w:rFonts w:asciiTheme="majorBidi" w:eastAsia="Times New Roman" w:hAnsiTheme="majorBidi" w:cstheme="majorBidi"/>
          <w:b/>
          <w:bCs/>
          <w:kern w:val="0"/>
          <w:sz w:val="27"/>
          <w:szCs w:val="27"/>
          <w14:ligatures w14:val="none"/>
        </w:rPr>
        <w:t>Methodological Implications</w:t>
      </w:r>
    </w:p>
    <w:p w14:paraId="253C2B46"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Because the two datasets come from different sources and different years:</w:t>
      </w:r>
    </w:p>
    <w:p w14:paraId="1054E197"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assumed </w:t>
      </w:r>
      <w:r w:rsidRPr="00626557">
        <w:rPr>
          <w:rFonts w:asciiTheme="majorBidi" w:eastAsia="Times New Roman" w:hAnsiTheme="majorBidi" w:cstheme="majorBidi"/>
          <w:b/>
          <w:bCs/>
          <w:kern w:val="0"/>
          <w14:ligatures w14:val="none"/>
        </w:rPr>
        <w:t>relative short-term income stability</w:t>
      </w:r>
      <w:r w:rsidRPr="00626557">
        <w:rPr>
          <w:rFonts w:asciiTheme="majorBidi" w:eastAsia="Times New Roman" w:hAnsiTheme="majorBidi" w:cstheme="majorBidi"/>
          <w:kern w:val="0"/>
          <w14:ligatures w14:val="none"/>
        </w:rPr>
        <w:t xml:space="preserve"> between 2019 and 2020.</w:t>
      </w:r>
    </w:p>
    <w:p w14:paraId="235F2A6F"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transformed total liquor sales into </w:t>
      </w:r>
      <w:r w:rsidRPr="00626557">
        <w:rPr>
          <w:rFonts w:asciiTheme="majorBidi" w:eastAsia="Times New Roman" w:hAnsiTheme="majorBidi" w:cstheme="majorBidi"/>
          <w:b/>
          <w:bCs/>
          <w:kern w:val="0"/>
          <w14:ligatures w14:val="none"/>
        </w:rPr>
        <w:t>per-capita values</w:t>
      </w:r>
      <w:r w:rsidRPr="00626557">
        <w:rPr>
          <w:rFonts w:asciiTheme="majorBidi" w:eastAsia="Times New Roman" w:hAnsiTheme="majorBidi" w:cstheme="majorBidi"/>
          <w:kern w:val="0"/>
          <w14:ligatures w14:val="none"/>
        </w:rPr>
        <w:t xml:space="preserve"> to ensure fair comparisons.</w:t>
      </w:r>
    </w:p>
    <w:p w14:paraId="14EBB03B"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 </w:t>
      </w:r>
      <w:r w:rsidRPr="00626557">
        <w:rPr>
          <w:rFonts w:asciiTheme="majorBidi" w:eastAsia="Times New Roman" w:hAnsiTheme="majorBidi" w:cstheme="majorBidi"/>
          <w:b/>
          <w:bCs/>
          <w:kern w:val="0"/>
          <w14:ligatures w14:val="none"/>
        </w:rPr>
        <w:t>inner join by county</w:t>
      </w:r>
      <w:r w:rsidRPr="00626557">
        <w:rPr>
          <w:rFonts w:asciiTheme="majorBidi" w:eastAsia="Times New Roman" w:hAnsiTheme="majorBidi" w:cstheme="majorBidi"/>
          <w:kern w:val="0"/>
          <w14:ligatures w14:val="none"/>
        </w:rPr>
        <w:t xml:space="preserve"> ensured consistent geographic alignment.</w:t>
      </w:r>
    </w:p>
    <w:p w14:paraId="30D47AFC"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Descriptive Summary</w:t>
      </w:r>
    </w:p>
    <w:p w14:paraId="627EEE2F"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Across Iowa counties:</w:t>
      </w:r>
    </w:p>
    <w:p w14:paraId="3A847CB5" w14:textId="77777777" w:rsidR="00626557" w:rsidRPr="00626557" w:rsidRDefault="00626557" w:rsidP="00626557">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Median household incomes show clear regional variation.</w:t>
      </w:r>
    </w:p>
    <w:p w14:paraId="07B0FA5C" w14:textId="77777777" w:rsidR="00626557" w:rsidRPr="00626557" w:rsidRDefault="00626557" w:rsidP="00626557">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Population ranges from small rural counties to large urban counties.</w:t>
      </w:r>
    </w:p>
    <w:p w14:paraId="5869FC16" w14:textId="084B4376" w:rsidR="001F21E1" w:rsidRDefault="00626557" w:rsidP="000F7CE6">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Liquor sales totals vary substantially, largely driven by population size before normalization.</w:t>
      </w:r>
    </w:p>
    <w:p w14:paraId="553EEA84" w14:textId="77777777" w:rsidR="00D32200" w:rsidRDefault="00D32200" w:rsidP="00D32200">
      <w:pPr>
        <w:spacing w:before="100" w:beforeAutospacing="1" w:after="100" w:afterAutospacing="1" w:line="240" w:lineRule="auto"/>
        <w:rPr>
          <w:rFonts w:asciiTheme="majorBidi" w:eastAsia="Times New Roman" w:hAnsiTheme="majorBidi" w:cstheme="majorBidi"/>
          <w:kern w:val="0"/>
          <w14:ligatures w14:val="none"/>
        </w:rPr>
      </w:pPr>
    </w:p>
    <w:p w14:paraId="47695985" w14:textId="77777777" w:rsidR="00D32200" w:rsidRPr="000F7CE6" w:rsidRDefault="00D32200" w:rsidP="00D32200">
      <w:pPr>
        <w:spacing w:before="100" w:beforeAutospacing="1" w:after="100" w:afterAutospacing="1" w:line="240" w:lineRule="auto"/>
        <w:rPr>
          <w:rFonts w:asciiTheme="majorBidi" w:eastAsia="Times New Roman" w:hAnsiTheme="majorBidi" w:cstheme="majorBidi"/>
          <w:kern w:val="0"/>
          <w14:ligatures w14:val="none"/>
        </w:rPr>
      </w:pPr>
    </w:p>
    <w:p w14:paraId="0A7B56FC" w14:textId="554F5DC9"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 xml:space="preserve">3. Data Analytics </w:t>
      </w:r>
    </w:p>
    <w:p w14:paraId="2F2B9156" w14:textId="7A9332D2" w:rsidR="00D32200" w:rsidRPr="00D32200" w:rsidRDefault="00D32200" w:rsidP="00D3220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32200">
        <w:rPr>
          <w:rFonts w:ascii="Times New Roman" w:eastAsia="Times New Roman" w:hAnsi="Times New Roman" w:cs="Times New Roman"/>
          <w:b/>
          <w:bCs/>
          <w:kern w:val="0"/>
          <w14:ligatures w14:val="none"/>
        </w:rPr>
        <w:t>SQL Aggregation &amp; Validation</w:t>
      </w:r>
    </w:p>
    <w:p w14:paraId="35736CB5"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SQL was used to:</w:t>
      </w:r>
    </w:p>
    <w:p w14:paraId="281E2047"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 xml:space="preserve">Aggregate transaction-level sales into </w:t>
      </w:r>
      <w:r w:rsidRPr="00D32200">
        <w:rPr>
          <w:rFonts w:ascii="Times New Roman" w:eastAsia="Times New Roman" w:hAnsi="Times New Roman" w:cs="Times New Roman"/>
          <w:b/>
          <w:bCs/>
          <w:kern w:val="0"/>
          <w14:ligatures w14:val="none"/>
        </w:rPr>
        <w:t>county-level totals</w:t>
      </w:r>
    </w:p>
    <w:p w14:paraId="26C90EB9"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 xml:space="preserve">Join sales with </w:t>
      </w:r>
      <w:r w:rsidRPr="00D32200">
        <w:rPr>
          <w:rFonts w:ascii="Times New Roman" w:eastAsia="Times New Roman" w:hAnsi="Times New Roman" w:cs="Times New Roman"/>
          <w:b/>
          <w:bCs/>
          <w:kern w:val="0"/>
          <w14:ligatures w14:val="none"/>
        </w:rPr>
        <w:t>county income and population</w:t>
      </w:r>
    </w:p>
    <w:p w14:paraId="0A469B43"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Validate completeness and remove inconsistent county labels</w:t>
      </w:r>
    </w:p>
    <w:p w14:paraId="51BF1AD4"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Core SQL structure:</w:t>
      </w:r>
    </w:p>
    <w:p w14:paraId="2B75076A" w14:textId="77777777" w:rsidR="00D32200" w:rsidRPr="00D32200" w:rsidRDefault="00D32200" w:rsidP="00D322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Courier New" w:eastAsia="Times New Roman" w:hAnsi="Courier New" w:cs="Courier New"/>
          <w:kern w:val="0"/>
          <w:sz w:val="20"/>
          <w:szCs w:val="20"/>
          <w14:ligatures w14:val="none"/>
        </w:rPr>
        <w:t>SUM(sale_dollars)</w:t>
      </w:r>
      <w:r w:rsidRPr="00D32200">
        <w:rPr>
          <w:rFonts w:ascii="Times New Roman" w:eastAsia="Times New Roman" w:hAnsi="Times New Roman" w:cs="Times New Roman"/>
          <w:kern w:val="0"/>
          <w14:ligatures w14:val="none"/>
        </w:rPr>
        <w:t xml:space="preserve"> grouped by </w:t>
      </w:r>
      <w:r w:rsidRPr="00D32200">
        <w:rPr>
          <w:rFonts w:ascii="Courier New" w:eastAsia="Times New Roman" w:hAnsi="Courier New" w:cs="Courier New"/>
          <w:kern w:val="0"/>
          <w:sz w:val="20"/>
          <w:szCs w:val="20"/>
          <w14:ligatures w14:val="none"/>
        </w:rPr>
        <w:t>county</w:t>
      </w:r>
    </w:p>
    <w:p w14:paraId="43AA4387" w14:textId="77777777" w:rsidR="00D32200" w:rsidRPr="00D32200" w:rsidRDefault="00D32200" w:rsidP="00D322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Courier New" w:eastAsia="Times New Roman" w:hAnsi="Courier New" w:cs="Courier New"/>
          <w:kern w:val="0"/>
          <w:sz w:val="20"/>
          <w:szCs w:val="20"/>
          <w14:ligatures w14:val="none"/>
        </w:rPr>
        <w:t>INNER JOIN</w:t>
      </w:r>
      <w:r w:rsidRPr="00D32200">
        <w:rPr>
          <w:rFonts w:ascii="Times New Roman" w:eastAsia="Times New Roman" w:hAnsi="Times New Roman" w:cs="Times New Roman"/>
          <w:kern w:val="0"/>
          <w14:ligatures w14:val="none"/>
        </w:rPr>
        <w:t xml:space="preserve"> with ACS county income and population</w:t>
      </w:r>
    </w:p>
    <w:p w14:paraId="75ED5999"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This provided:</w:t>
      </w:r>
    </w:p>
    <w:p w14:paraId="2D932E55" w14:textId="77777777"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b/>
          <w:bCs/>
          <w:kern w:val="0"/>
          <w14:ligatures w14:val="none"/>
        </w:rPr>
        <w:t>Total liquor sales by county</w:t>
      </w:r>
    </w:p>
    <w:p w14:paraId="02652E27" w14:textId="77777777"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b/>
          <w:bCs/>
          <w:kern w:val="0"/>
          <w14:ligatures w14:val="none"/>
        </w:rPr>
        <w:t>Verified county-level joins</w:t>
      </w:r>
    </w:p>
    <w:p w14:paraId="4AB8087A" w14:textId="6BAAE19A"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A reproducible aggregation pipeline for auditing</w:t>
      </w:r>
    </w:p>
    <w:p w14:paraId="38C4AAFC" w14:textId="1BB6B12F"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Aggregation and Feature Engineering</w:t>
      </w:r>
    </w:p>
    <w:p w14:paraId="6BE04A2E"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We first aggregated liquor sales at the county level:</w:t>
      </w:r>
    </w:p>
    <w:p w14:paraId="168AAF3D" w14:textId="77777777" w:rsidR="00626557" w:rsidRPr="00626557" w:rsidRDefault="00626557" w:rsidP="00626557">
      <w:pPr>
        <w:spacing w:after="0" w:line="240" w:lineRule="auto"/>
        <w:rPr>
          <w:rFonts w:asciiTheme="majorBidi" w:eastAsia="Times New Roman" w:hAnsiTheme="majorBidi" w:cstheme="majorBidi"/>
          <w:kern w:val="0"/>
          <w14:ligatures w14:val="none"/>
        </w:rPr>
      </w:pPr>
      <m:oMathPara>
        <m:oMath>
          <m:r>
            <m:rPr>
              <m:nor/>
            </m:rPr>
            <w:rPr>
              <w:rFonts w:asciiTheme="majorBidi" w:eastAsia="Times New Roman" w:hAnsiTheme="majorBidi" w:cstheme="majorBidi"/>
              <w:kern w:val="0"/>
              <w14:ligatures w14:val="none"/>
            </w:rPr>
            <m:t>Total County Liquor Sales</m:t>
          </m:r>
          <m:r>
            <w:rPr>
              <w:rFonts w:ascii="Cambria Math" w:eastAsia="Times New Roman" w:hAnsi="Cambria Math" w:cstheme="majorBidi"/>
              <w:kern w:val="0"/>
              <w14:ligatures w14:val="none"/>
            </w:rPr>
            <m:t>=∑</m:t>
          </m:r>
          <m:r>
            <m:rPr>
              <m:nor/>
            </m:rPr>
            <w:rPr>
              <w:rFonts w:asciiTheme="majorBidi" w:eastAsia="Times New Roman" w:hAnsiTheme="majorBidi" w:cstheme="majorBidi"/>
              <w:kern w:val="0"/>
              <w14:ligatures w14:val="none"/>
            </w:rPr>
            <m:t>sale.dollars</m:t>
          </m:r>
          <m:r>
            <w:rPr>
              <w:rFonts w:asciiTheme="majorBidi" w:eastAsia="Times New Roman" w:hAnsiTheme="majorBidi" w:cstheme="majorBidi"/>
              <w:kern w:val="0"/>
              <w14:ligatures w14:val="none"/>
            </w:rPr>
            <w:br/>
          </m:r>
        </m:oMath>
      </m:oMathPara>
    </w:p>
    <w:p w14:paraId="6171799F"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then constructed a </w:t>
      </w:r>
      <w:r w:rsidRPr="00626557">
        <w:rPr>
          <w:rFonts w:asciiTheme="majorBidi" w:eastAsia="Times New Roman" w:hAnsiTheme="majorBidi" w:cstheme="majorBidi"/>
          <w:b/>
          <w:bCs/>
          <w:kern w:val="0"/>
          <w14:ligatures w14:val="none"/>
        </w:rPr>
        <w:t>per-capita spending variable</w:t>
      </w:r>
      <w:r w:rsidRPr="00626557">
        <w:rPr>
          <w:rFonts w:asciiTheme="majorBidi" w:eastAsia="Times New Roman" w:hAnsiTheme="majorBidi" w:cstheme="majorBidi"/>
          <w:kern w:val="0"/>
          <w14:ligatures w14:val="none"/>
        </w:rPr>
        <w:t>:</w:t>
      </w:r>
    </w:p>
    <w:p w14:paraId="5953A705" w14:textId="77777777" w:rsidR="00626557" w:rsidRPr="00626557" w:rsidRDefault="00626557" w:rsidP="00626557">
      <w:pPr>
        <w:spacing w:after="0" w:line="240" w:lineRule="auto"/>
        <w:rPr>
          <w:rFonts w:asciiTheme="majorBidi" w:eastAsia="Times New Roman" w:hAnsiTheme="majorBidi" w:cstheme="majorBidi"/>
          <w:kern w:val="0"/>
          <w14:ligatures w14:val="none"/>
        </w:rPr>
      </w:pPr>
      <m:oMathPara>
        <m:oMath>
          <m:r>
            <m:rPr>
              <m:nor/>
            </m:rPr>
            <w:rPr>
              <w:rFonts w:asciiTheme="majorBidi" w:eastAsia="Times New Roman" w:hAnsiTheme="majorBidi" w:cstheme="majorBidi"/>
              <w:kern w:val="0"/>
              <w14:ligatures w14:val="none"/>
            </w:rPr>
            <m:t>Liquor Dollars Per Capita</m:t>
          </m:r>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m:rPr>
                  <m:nor/>
                </m:rPr>
                <w:rPr>
                  <w:rFonts w:asciiTheme="majorBidi" w:eastAsia="Times New Roman" w:hAnsiTheme="majorBidi" w:cstheme="majorBidi"/>
                  <w:kern w:val="0"/>
                  <w14:ligatures w14:val="none"/>
                </w:rPr>
                <m:t>Total County Liquor Sales</m:t>
              </m:r>
            </m:num>
            <m:den>
              <m:r>
                <m:rPr>
                  <m:nor/>
                </m:rPr>
                <w:rPr>
                  <w:rFonts w:asciiTheme="majorBidi" w:eastAsia="Times New Roman" w:hAnsiTheme="majorBidi" w:cstheme="majorBidi"/>
                  <w:kern w:val="0"/>
                  <w14:ligatures w14:val="none"/>
                </w:rPr>
                <m:t>Population</m:t>
              </m:r>
            </m:den>
          </m:f>
          <m:r>
            <w:rPr>
              <w:rFonts w:asciiTheme="majorBidi" w:eastAsia="Times New Roman" w:hAnsiTheme="majorBidi" w:cstheme="majorBidi"/>
              <w:kern w:val="0"/>
              <w14:ligatures w14:val="none"/>
            </w:rPr>
            <w:br/>
          </m:r>
        </m:oMath>
      </m:oMathPara>
    </w:p>
    <w:p w14:paraId="793B57FC"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transformation was essential to remove population-driven distortion.</w:t>
      </w:r>
    </w:p>
    <w:p w14:paraId="74AB5156"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Merging Process</w:t>
      </w:r>
    </w:p>
    <w:p w14:paraId="6B5C3492"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sales and ACS datasets were merged by county using:</w:t>
      </w:r>
    </w:p>
    <w:p w14:paraId="4B59A745"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SQL for initial validation,</w:t>
      </w:r>
    </w:p>
    <w:p w14:paraId="4972E100"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 for data cleaning and aggregation,</w:t>
      </w:r>
    </w:p>
    <w:p w14:paraId="572E9C28"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Python for final analysis, correlation testing, and visualization.</w:t>
      </w:r>
    </w:p>
    <w:p w14:paraId="32299E99"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lastRenderedPageBreak/>
        <w:t xml:space="preserve">All three tools produced </w:t>
      </w:r>
      <w:r w:rsidRPr="00626557">
        <w:rPr>
          <w:rFonts w:asciiTheme="majorBidi" w:eastAsia="Times New Roman" w:hAnsiTheme="majorBidi" w:cstheme="majorBidi"/>
          <w:b/>
          <w:bCs/>
          <w:kern w:val="0"/>
          <w14:ligatures w14:val="none"/>
        </w:rPr>
        <w:t>consistent numerical results</w:t>
      </w:r>
      <w:r w:rsidRPr="00626557">
        <w:rPr>
          <w:rFonts w:asciiTheme="majorBidi" w:eastAsia="Times New Roman" w:hAnsiTheme="majorBidi" w:cstheme="majorBidi"/>
          <w:kern w:val="0"/>
          <w14:ligatures w14:val="none"/>
        </w:rPr>
        <w:t>, confirming the reliability of the workflow.</w:t>
      </w:r>
    </w:p>
    <w:p w14:paraId="1822281B"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Correlation Analysis</w:t>
      </w:r>
    </w:p>
    <w:p w14:paraId="716955E5" w14:textId="179B9351"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We computed the</w:t>
      </w:r>
      <w:r w:rsidRPr="00626557">
        <w:rPr>
          <w:rFonts w:asciiTheme="majorBidi" w:eastAsia="Times New Roman" w:hAnsiTheme="majorBidi" w:cstheme="majorBidi"/>
          <w:b/>
          <w:bCs/>
          <w:kern w:val="0"/>
          <w14:ligatures w14:val="none"/>
        </w:rPr>
        <w:t xml:space="preserve"> correlation coefficient</w:t>
      </w:r>
      <w:r w:rsidRPr="00626557">
        <w:rPr>
          <w:rFonts w:asciiTheme="majorBidi" w:eastAsia="Times New Roman" w:hAnsiTheme="majorBidi" w:cstheme="majorBidi"/>
          <w:kern w:val="0"/>
          <w14:ligatures w14:val="none"/>
        </w:rPr>
        <w:t xml:space="preserve"> between:</w:t>
      </w:r>
    </w:p>
    <w:p w14:paraId="711113F8" w14:textId="77777777" w:rsidR="00626557" w:rsidRPr="00626557" w:rsidRDefault="00626557" w:rsidP="00626557">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Median household income</w:t>
      </w:r>
    </w:p>
    <w:p w14:paraId="373812F2" w14:textId="77777777" w:rsidR="00626557" w:rsidRPr="00626557" w:rsidRDefault="00626557" w:rsidP="00626557">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Liquor dollars per capita</w:t>
      </w:r>
    </w:p>
    <w:p w14:paraId="7D3B9F82" w14:textId="1FA5328D" w:rsid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Final Result</w:t>
      </w:r>
    </w:p>
    <w:p w14:paraId="0342E489" w14:textId="77777777" w:rsidR="000F7CE6" w:rsidRPr="000F7CE6"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SQL was used for initial data validation, county-level aggregation, and verification of summary measures. Python and R were used for per-capita normalization and correlation estimation, while Tableau supported final interactive visualizations.</w:t>
      </w:r>
    </w:p>
    <w:p w14:paraId="707F0FAF" w14:textId="77777777" w:rsidR="000F7CE6" w:rsidRPr="000F7CE6"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The Pearson correlation between median household income and liquor spending per capita is r ≈ -0.106, indicating an extremely weak and slightly negative relationship. Per-capita liquor spending ranges from $3.57 at the lower end of the distribution to $220.83 in the highest-spending counties.</w:t>
      </w:r>
    </w:p>
    <w:p w14:paraId="182ECEB6" w14:textId="199CEF52" w:rsidR="000F7CE6" w:rsidRPr="00626557"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Total county-level liquor sales vary from approximately $25,053 to more than $61,059,636 annually, demonstrating that market size dominates total revenue patterns.</w:t>
      </w:r>
    </w:p>
    <w:p w14:paraId="40424070"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Interpretation</w:t>
      </w:r>
    </w:p>
    <w:p w14:paraId="48AED424"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value indicates:</w:t>
      </w:r>
    </w:p>
    <w:p w14:paraId="760D3F8B" w14:textId="77777777" w:rsidR="00626557" w:rsidRPr="00626557" w:rsidRDefault="00626557" w:rsidP="006265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 </w:t>
      </w:r>
      <w:r w:rsidRPr="00626557">
        <w:rPr>
          <w:rFonts w:asciiTheme="majorBidi" w:eastAsia="Times New Roman" w:hAnsiTheme="majorBidi" w:cstheme="majorBidi"/>
          <w:b/>
          <w:bCs/>
          <w:kern w:val="0"/>
          <w14:ligatures w14:val="none"/>
        </w:rPr>
        <w:t>very weak negative relationship</w:t>
      </w:r>
    </w:p>
    <w:p w14:paraId="754BA8DC" w14:textId="77777777" w:rsidR="00626557" w:rsidRPr="00626557" w:rsidRDefault="00626557" w:rsidP="006265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Income explains </w:t>
      </w:r>
      <w:r w:rsidRPr="00626557">
        <w:rPr>
          <w:rFonts w:asciiTheme="majorBidi" w:eastAsia="Times New Roman" w:hAnsiTheme="majorBidi" w:cstheme="majorBidi"/>
          <w:b/>
          <w:bCs/>
          <w:kern w:val="0"/>
          <w14:ligatures w14:val="none"/>
        </w:rPr>
        <w:t>almost none</w:t>
      </w:r>
      <w:r w:rsidRPr="00626557">
        <w:rPr>
          <w:rFonts w:asciiTheme="majorBidi" w:eastAsia="Times New Roman" w:hAnsiTheme="majorBidi" w:cstheme="majorBidi"/>
          <w:kern w:val="0"/>
          <w14:ligatures w14:val="none"/>
        </w:rPr>
        <w:t xml:space="preserve"> of the variation in liquor spending per capita</w:t>
      </w:r>
    </w:p>
    <w:p w14:paraId="46D1B46B" w14:textId="77777777" w:rsidR="00EA3F14" w:rsidRDefault="00626557" w:rsidP="00EA3F14">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Higher-income counties do </w:t>
      </w:r>
      <w:r w:rsidRPr="00626557">
        <w:rPr>
          <w:rFonts w:asciiTheme="majorBidi" w:eastAsia="Times New Roman" w:hAnsiTheme="majorBidi" w:cstheme="majorBidi"/>
          <w:b/>
          <w:bCs/>
          <w:kern w:val="0"/>
          <w14:ligatures w14:val="none"/>
        </w:rPr>
        <w:t>not</w:t>
      </w:r>
      <w:r w:rsidRPr="00626557">
        <w:rPr>
          <w:rFonts w:asciiTheme="majorBidi" w:eastAsia="Times New Roman" w:hAnsiTheme="majorBidi" w:cstheme="majorBidi"/>
          <w:kern w:val="0"/>
          <w14:ligatures w14:val="none"/>
        </w:rPr>
        <w:t xml:space="preserve"> appear to consume more liquor per person</w:t>
      </w:r>
    </w:p>
    <w:p w14:paraId="5C7A4A21" w14:textId="55A8C671" w:rsidR="00EA3F14" w:rsidRPr="00EA3F14" w:rsidRDefault="00EA3F14" w:rsidP="00EA3F14">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EA3F14">
        <w:rPr>
          <w:rFonts w:asciiTheme="majorBidi" w:eastAsia="Times New Roman" w:hAnsiTheme="majorBidi" w:cstheme="majorBidi"/>
          <w:kern w:val="0"/>
          <w14:ligatures w14:val="none"/>
        </w:rPr>
        <w:t>Consistent coefficient across R and Python</w:t>
      </w:r>
    </w:p>
    <w:p w14:paraId="4AC064D4" w14:textId="2903730E" w:rsidR="0043291B" w:rsidRDefault="00EA3F14"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EA3F14">
        <w:rPr>
          <w:rFonts w:asciiTheme="majorBidi" w:eastAsia="Times New Roman" w:hAnsiTheme="majorBidi" w:cstheme="majorBidi"/>
          <w:kern w:val="0"/>
          <w14:ligatures w14:val="none"/>
        </w:rPr>
        <w:t>Although the sign of the correlation is negative, the magnitude is so small that it does not support any meaningful behavioral inference</w:t>
      </w:r>
      <w:r w:rsidR="007C5B4A">
        <w:rPr>
          <w:rFonts w:asciiTheme="majorBidi" w:eastAsia="Times New Roman" w:hAnsiTheme="majorBidi" w:cstheme="majorBidi"/>
          <w:kern w:val="0"/>
          <w14:ligatures w14:val="none"/>
        </w:rPr>
        <w:t xml:space="preserve">. </w:t>
      </w:r>
      <w:r w:rsidR="007C5B4A" w:rsidRPr="007C5B4A">
        <w:rPr>
          <w:rFonts w:asciiTheme="majorBidi" w:eastAsia="Times New Roman" w:hAnsiTheme="majorBidi" w:cstheme="majorBidi"/>
          <w:kern w:val="0"/>
          <w14:ligatures w14:val="none"/>
        </w:rPr>
        <w:t>With n = 99 counties, an r of –0.106 implies negligible explanatory power</w:t>
      </w:r>
    </w:p>
    <w:p w14:paraId="70FE8A20"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2B1D96D2"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28172D45"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712200EB" w14:textId="77777777" w:rsidR="00EA3F14" w:rsidRDefault="00EA3F14"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0EA2F543" w14:textId="77777777" w:rsidR="00EA3F14" w:rsidRDefault="00EA3F14"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431D53BD" w14:textId="292FC14B" w:rsid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Visualization Insights</w:t>
      </w:r>
    </w:p>
    <w:p w14:paraId="29A215C8" w14:textId="33EC198D"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sidRPr="000F7CE6">
        <w:rPr>
          <w:rFonts w:asciiTheme="majorBidi" w:eastAsia="Times New Roman" w:hAnsiTheme="majorBidi" w:cstheme="majorBidi"/>
          <w:b/>
          <w:bCs/>
          <w:kern w:val="0"/>
          <w14:ligatures w14:val="none"/>
        </w:rPr>
        <w:t xml:space="preserve">Figure </w:t>
      </w:r>
      <w:r w:rsidR="0043291B">
        <w:rPr>
          <w:rFonts w:asciiTheme="majorBidi" w:eastAsia="Times New Roman" w:hAnsiTheme="majorBidi" w:cstheme="majorBidi"/>
          <w:b/>
          <w:bCs/>
          <w:kern w:val="0"/>
          <w14:ligatures w14:val="none"/>
        </w:rPr>
        <w:t>1</w:t>
      </w:r>
      <w:r w:rsidRPr="000F7CE6">
        <w:rPr>
          <w:rFonts w:asciiTheme="majorBidi" w:eastAsia="Times New Roman" w:hAnsiTheme="majorBidi" w:cstheme="majorBidi"/>
          <w:b/>
          <w:bCs/>
          <w:kern w:val="0"/>
          <w14:ligatures w14:val="none"/>
        </w:rPr>
        <w:t xml:space="preserve">. Median Household Income vs Liquor Spending Per Capita (Tableau Scatter Plot) </w:t>
      </w:r>
    </w:p>
    <w:p w14:paraId="30D5ADB4" w14:textId="250E3017"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Pr>
          <w:rFonts w:asciiTheme="majorBidi" w:eastAsia="Times New Roman" w:hAnsiTheme="majorBidi" w:cstheme="majorBidi"/>
          <w:b/>
          <w:bCs/>
          <w:noProof/>
          <w:kern w:val="0"/>
        </w:rPr>
        <w:drawing>
          <wp:inline distT="0" distB="0" distL="0" distR="0" wp14:anchorId="2C57A831" wp14:editId="12238A6E">
            <wp:extent cx="5304503" cy="3978377"/>
            <wp:effectExtent l="0" t="0" r="4445" b="0"/>
            <wp:docPr id="102982730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7309" name="Picture 1" descr="A graph of a bar 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5588" cy="3986691"/>
                    </a:xfrm>
                    <a:prstGeom prst="rect">
                      <a:avLst/>
                    </a:prstGeom>
                  </pic:spPr>
                </pic:pic>
              </a:graphicData>
            </a:graphic>
          </wp:inline>
        </w:drawing>
      </w:r>
    </w:p>
    <w:p w14:paraId="69A8D1B2" w14:textId="77777777" w:rsidR="00D32200" w:rsidRDefault="00D32200" w:rsidP="00D32200">
      <w:pPr>
        <w:pStyle w:val="NormalWeb"/>
      </w:pPr>
      <w:r>
        <w:rPr>
          <w:rFonts w:hAnsi="Symbol"/>
        </w:rPr>
        <w:t></w:t>
      </w:r>
      <w:r>
        <w:t xml:space="preserve">  Points appear </w:t>
      </w:r>
      <w:r>
        <w:rPr>
          <w:rStyle w:val="Strong"/>
          <w:rFonts w:eastAsiaTheme="majorEastAsia"/>
        </w:rPr>
        <w:t>near-randomly dispersed</w:t>
      </w:r>
    </w:p>
    <w:p w14:paraId="0C81918E" w14:textId="77777777" w:rsidR="00D32200" w:rsidRDefault="00D32200" w:rsidP="00D32200">
      <w:pPr>
        <w:pStyle w:val="NormalWeb"/>
      </w:pPr>
      <w:r>
        <w:rPr>
          <w:rFonts w:hAnsi="Symbol"/>
        </w:rPr>
        <w:t></w:t>
      </w:r>
      <w:r>
        <w:t xml:space="preserve">  Regression line slopes </w:t>
      </w:r>
      <w:r>
        <w:rPr>
          <w:rStyle w:val="Strong"/>
          <w:rFonts w:eastAsiaTheme="majorEastAsia"/>
        </w:rPr>
        <w:t>slightly downward</w:t>
      </w:r>
    </w:p>
    <w:p w14:paraId="61B999AC" w14:textId="77777777" w:rsidR="00D32200" w:rsidRDefault="00D32200" w:rsidP="00D32200">
      <w:pPr>
        <w:pStyle w:val="NormalWeb"/>
      </w:pPr>
      <w:r>
        <w:rPr>
          <w:rFonts w:hAnsi="Symbol"/>
        </w:rPr>
        <w:t></w:t>
      </w:r>
      <w:r>
        <w:t xml:space="preserve">  Confirms </w:t>
      </w:r>
      <w:r>
        <w:rPr>
          <w:rStyle w:val="Strong"/>
          <w:rFonts w:eastAsiaTheme="majorEastAsia"/>
        </w:rPr>
        <w:t>weak negative relationship (r ≈ –0.106)</w:t>
      </w:r>
    </w:p>
    <w:p w14:paraId="07C17269" w14:textId="389C68FC" w:rsidR="0043291B" w:rsidRPr="0043291B" w:rsidRDefault="0043291B" w:rsidP="00D32200">
      <w:pPr>
        <w:spacing w:before="100" w:beforeAutospacing="1" w:after="100" w:afterAutospacing="1" w:line="240" w:lineRule="auto"/>
        <w:rPr>
          <w:rFonts w:asciiTheme="majorBidi" w:eastAsia="Times New Roman" w:hAnsiTheme="majorBidi" w:cstheme="majorBidi"/>
          <w:kern w:val="0"/>
          <w14:ligatures w14:val="none"/>
        </w:rPr>
      </w:pPr>
      <w:r w:rsidRPr="0043291B">
        <w:rPr>
          <w:rFonts w:asciiTheme="majorBidi" w:eastAsia="Times New Roman" w:hAnsiTheme="majorBidi" w:cstheme="majorBidi"/>
          <w:kern w:val="0"/>
          <w14:ligatures w14:val="none"/>
        </w:rPr>
        <w:t>T</w:t>
      </w:r>
      <w:r w:rsidRPr="0043291B">
        <w:rPr>
          <w:rFonts w:asciiTheme="majorBidi" w:eastAsia="Times New Roman" w:hAnsiTheme="majorBidi" w:cstheme="majorBidi"/>
          <w:kern w:val="0"/>
          <w14:ligatures w14:val="none"/>
        </w:rPr>
        <w:t>his figure visualizes the relationship between county-level median household income and per-capita liquor spending. Each point represents a county, with values normalized by population to reflect individual-level consumption rather than total revenue. The scatter plot shows a widely dispersed pattern with no strong linear clustering. The estimated correlation coefficient (r ≈ −0.106) indicates a very weak negative relationship, suggesting that higher-income counties do not spend more on liquor on a per-capita basis. This result implies that liquor consumption behavior in Iowa is largely independent of income once population effects are removed.</w:t>
      </w:r>
    </w:p>
    <w:p w14:paraId="24586AEB" w14:textId="77777777" w:rsidR="0043291B"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p>
    <w:p w14:paraId="7FBC22AA" w14:textId="77777777" w:rsidR="0043291B"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p>
    <w:p w14:paraId="4A2A578C" w14:textId="3B5FBCA3"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sidRPr="000F7CE6">
        <w:rPr>
          <w:rFonts w:asciiTheme="majorBidi" w:eastAsia="Times New Roman" w:hAnsiTheme="majorBidi" w:cstheme="majorBidi"/>
          <w:b/>
          <w:bCs/>
          <w:kern w:val="0"/>
          <w14:ligatures w14:val="none"/>
        </w:rPr>
        <w:t xml:space="preserve">Figure </w:t>
      </w:r>
      <w:r w:rsidR="0043291B">
        <w:rPr>
          <w:rFonts w:asciiTheme="majorBidi" w:eastAsia="Times New Roman" w:hAnsiTheme="majorBidi" w:cstheme="majorBidi"/>
          <w:b/>
          <w:bCs/>
          <w:kern w:val="0"/>
          <w14:ligatures w14:val="none"/>
        </w:rPr>
        <w:t>2</w:t>
      </w:r>
      <w:r w:rsidRPr="000F7CE6">
        <w:rPr>
          <w:rFonts w:asciiTheme="majorBidi" w:eastAsia="Times New Roman" w:hAnsiTheme="majorBidi" w:cstheme="majorBidi"/>
          <w:b/>
          <w:bCs/>
          <w:kern w:val="0"/>
          <w14:ligatures w14:val="none"/>
        </w:rPr>
        <w:t>. Income vs Total Liquor Sales (SQL Output Visualization) –</w:t>
      </w:r>
    </w:p>
    <w:p w14:paraId="22B4B331" w14:textId="60F0B72C" w:rsidR="0043291B" w:rsidRPr="000F7CE6"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r>
        <w:rPr>
          <w:rFonts w:asciiTheme="majorBidi" w:eastAsia="Times New Roman" w:hAnsiTheme="majorBidi" w:cstheme="majorBidi"/>
          <w:b/>
          <w:bCs/>
          <w:noProof/>
          <w:kern w:val="0"/>
        </w:rPr>
        <w:drawing>
          <wp:inline distT="0" distB="0" distL="0" distR="0" wp14:anchorId="0DAFED80" wp14:editId="789D68E1">
            <wp:extent cx="5943600" cy="4379595"/>
            <wp:effectExtent l="0" t="0" r="0" b="1905"/>
            <wp:docPr id="1407676188" name="Picture 3" descr="A graph of a liquor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76188" name="Picture 3" descr="A graph of a liquor sal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379595"/>
                    </a:xfrm>
                    <a:prstGeom prst="rect">
                      <a:avLst/>
                    </a:prstGeom>
                  </pic:spPr>
                </pic:pic>
              </a:graphicData>
            </a:graphic>
          </wp:inline>
        </w:drawing>
      </w:r>
    </w:p>
    <w:p w14:paraId="60485124" w14:textId="77777777" w:rsidR="00D32200" w:rsidRDefault="00D32200" w:rsidP="00D32200">
      <w:pPr>
        <w:pStyle w:val="NormalWeb"/>
      </w:pPr>
      <w:r>
        <w:t>Strong upward slope appears here, but this is:</w:t>
      </w:r>
    </w:p>
    <w:p w14:paraId="515DC637" w14:textId="77777777" w:rsidR="00D32200" w:rsidRPr="0043291B" w:rsidRDefault="00D32200" w:rsidP="00D32200">
      <w:pPr>
        <w:pStyle w:val="NormalWeb"/>
        <w:numPr>
          <w:ilvl w:val="0"/>
          <w:numId w:val="29"/>
        </w:numPr>
      </w:pPr>
      <w:r w:rsidRPr="0043291B">
        <w:rPr>
          <w:rStyle w:val="Strong"/>
          <w:rFonts w:eastAsiaTheme="majorEastAsia"/>
          <w:b w:val="0"/>
          <w:bCs w:val="0"/>
        </w:rPr>
        <w:t>Entirely driven by population size</w:t>
      </w:r>
    </w:p>
    <w:p w14:paraId="4E1E95CA" w14:textId="15E0C5A4" w:rsidR="00D32200" w:rsidRPr="0043291B" w:rsidRDefault="00D32200" w:rsidP="0043291B">
      <w:pPr>
        <w:pStyle w:val="NormalWeb"/>
        <w:numPr>
          <w:ilvl w:val="0"/>
          <w:numId w:val="29"/>
        </w:numPr>
      </w:pPr>
      <w:r w:rsidRPr="0043291B">
        <w:t>Not by individual consumption behavior</w:t>
      </w:r>
    </w:p>
    <w:p w14:paraId="1BAD5023" w14:textId="66881F60" w:rsidR="0043291B" w:rsidRDefault="0043291B" w:rsidP="00626557">
      <w:pPr>
        <w:spacing w:before="100" w:beforeAutospacing="1" w:after="100" w:afterAutospacing="1" w:line="240" w:lineRule="auto"/>
        <w:rPr>
          <w:rFonts w:asciiTheme="majorBidi" w:eastAsia="Times New Roman" w:hAnsiTheme="majorBidi" w:cstheme="majorBidi"/>
          <w:kern w:val="0"/>
          <w14:ligatures w14:val="none"/>
        </w:rPr>
      </w:pPr>
      <w:r w:rsidRPr="0043291B">
        <w:rPr>
          <w:rFonts w:asciiTheme="majorBidi" w:eastAsia="Times New Roman" w:hAnsiTheme="majorBidi" w:cstheme="majorBidi"/>
          <w:kern w:val="0"/>
          <w14:ligatures w14:val="none"/>
        </w:rPr>
        <w:t>This visualization displays the relationship between median household income and total county-level liquor sales. While a positive association is visible, this pattern is driven primarily by county population size rather than differences in individual consumption behavior.</w:t>
      </w:r>
      <w:r>
        <w:rPr>
          <w:rFonts w:asciiTheme="majorBidi" w:eastAsia="Times New Roman" w:hAnsiTheme="majorBidi" w:cstheme="majorBidi"/>
          <w:kern w:val="0"/>
          <w14:ligatures w14:val="none"/>
        </w:rPr>
        <w:t xml:space="preserve"> </w:t>
      </w:r>
      <w:r w:rsidRPr="0043291B">
        <w:rPr>
          <w:rFonts w:asciiTheme="majorBidi" w:eastAsia="Times New Roman" w:hAnsiTheme="majorBidi" w:cstheme="majorBidi"/>
          <w:kern w:val="0"/>
          <w14:ligatures w14:val="none"/>
        </w:rPr>
        <w:t>Although the Income vs Total Liquor Sales visualization suggests a positive relationship, subsequent per-capita normalization reveals that this pattern is driven by population concentration rather than income-based differences in purchasing behavior</w:t>
      </w:r>
    </w:p>
    <w:p w14:paraId="0A18785C" w14:textId="77777777"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6A71714A" w14:textId="77777777"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277CFFE4" w14:textId="77777777"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4BD0B8F9" w14:textId="6F67DD00"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r>
        <w:rPr>
          <w:rFonts w:ascii="Times New Roman" w:eastAsia="Times New Roman" w:hAnsi="Times New Roman" w:cs="Times New Roman"/>
          <w:noProof/>
          <w:kern w:val="0"/>
        </w:rPr>
        <w:drawing>
          <wp:anchor distT="0" distB="0" distL="114300" distR="114300" simplePos="0" relativeHeight="251658240" behindDoc="0" locked="0" layoutInCell="1" allowOverlap="1" wp14:anchorId="7E450F7E" wp14:editId="72B9CFB4">
            <wp:simplePos x="0" y="0"/>
            <wp:positionH relativeFrom="column">
              <wp:posOffset>4527550</wp:posOffset>
            </wp:positionH>
            <wp:positionV relativeFrom="paragraph">
              <wp:posOffset>353695</wp:posOffset>
            </wp:positionV>
            <wp:extent cx="1885950" cy="3130550"/>
            <wp:effectExtent l="0" t="0" r="6350" b="6350"/>
            <wp:wrapTopAndBottom/>
            <wp:docPr id="3830768" name="Picture 5"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768" name="Picture 5" descr="A graph with lines and numb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85950" cy="313055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eastAsia="Times New Roman" w:hAnsiTheme="majorBidi" w:cstheme="majorBidi"/>
          <w:b/>
          <w:bCs/>
          <w:noProof/>
          <w:kern w:val="0"/>
        </w:rPr>
        <w:drawing>
          <wp:anchor distT="0" distB="0" distL="114300" distR="114300" simplePos="0" relativeHeight="251659264" behindDoc="0" locked="0" layoutInCell="1" allowOverlap="1" wp14:anchorId="3A805B1A" wp14:editId="5D1110AE">
            <wp:simplePos x="0" y="0"/>
            <wp:positionH relativeFrom="column">
              <wp:posOffset>0</wp:posOffset>
            </wp:positionH>
            <wp:positionV relativeFrom="paragraph">
              <wp:posOffset>353695</wp:posOffset>
            </wp:positionV>
            <wp:extent cx="3665855" cy="2529205"/>
            <wp:effectExtent l="0" t="0" r="4445" b="0"/>
            <wp:wrapSquare wrapText="bothSides"/>
            <wp:docPr id="1354816795" name="Picture 4"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16795" name="Picture 4" descr="A graph of a bar cha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65855" cy="2529205"/>
                    </a:xfrm>
                    <a:prstGeom prst="rect">
                      <a:avLst/>
                    </a:prstGeom>
                  </pic:spPr>
                </pic:pic>
              </a:graphicData>
            </a:graphic>
            <wp14:sizeRelH relativeFrom="page">
              <wp14:pctWidth>0</wp14:pctWidth>
            </wp14:sizeRelH>
            <wp14:sizeRelV relativeFrom="page">
              <wp14:pctHeight>0</wp14:pctHeight>
            </wp14:sizeRelV>
          </wp:anchor>
        </w:drawing>
      </w:r>
      <w:r w:rsidRPr="00BB4B26">
        <w:rPr>
          <w:rFonts w:asciiTheme="majorBidi" w:eastAsia="Times New Roman" w:hAnsiTheme="majorBidi" w:cstheme="majorBidi"/>
          <w:b/>
          <w:bCs/>
          <w:kern w:val="0"/>
          <w14:ligatures w14:val="none"/>
        </w:rPr>
        <w:t xml:space="preserve">Figure </w:t>
      </w:r>
      <w:r w:rsidRPr="00BB4B26">
        <w:rPr>
          <w:rFonts w:asciiTheme="majorBidi" w:eastAsia="Times New Roman" w:hAnsiTheme="majorBidi" w:cstheme="majorBidi"/>
          <w:b/>
          <w:bCs/>
          <w:kern w:val="0"/>
          <w14:ligatures w14:val="none"/>
        </w:rPr>
        <w:t>3</w:t>
      </w:r>
      <w:r w:rsidRPr="00BB4B26">
        <w:rPr>
          <w:rFonts w:asciiTheme="majorBidi" w:eastAsia="Times New Roman" w:hAnsiTheme="majorBidi" w:cstheme="majorBidi"/>
          <w:b/>
          <w:bCs/>
          <w:kern w:val="0"/>
          <w14:ligatures w14:val="none"/>
        </w:rPr>
        <w:t>. Distribution of Liquor Spending Per Capita (Histogram &amp; Boxplot)</w:t>
      </w:r>
    </w:p>
    <w:p w14:paraId="7E09AE9F" w14:textId="3F7E67FB"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7F9A4889" w14:textId="46C96B5B" w:rsidR="00BB4B26" w:rsidRDefault="00EA3F14" w:rsidP="00BB4B26">
      <w:pPr>
        <w:spacing w:before="100" w:beforeAutospacing="1" w:after="100" w:afterAutospacing="1" w:line="240" w:lineRule="auto"/>
        <w:rPr>
          <w:rFonts w:ascii="Times New Roman" w:eastAsia="Times New Roman" w:hAnsi="Times New Roman" w:cs="Times New Roman"/>
          <w:kern w:val="0"/>
          <w14:ligatures w14:val="none"/>
        </w:rPr>
      </w:pPr>
      <w:r w:rsidRPr="00EA3F14">
        <w:rPr>
          <w:rFonts w:ascii="Times New Roman" w:eastAsia="Times New Roman" w:hAnsi="Times New Roman" w:cs="Times New Roman"/>
          <w:kern w:val="0"/>
          <w14:ligatures w14:val="none"/>
        </w:rPr>
        <w:t>Figure 3 presents the histogram and boxplot of liquor dollars per capita. The distribution is right-skewed, with most counties clustered between approximately $30 and $80 per resident, and a small number of extreme outliers exceeding $150 per capita. The boxplot shows a median near $56, a compact interquartile range, and a small number of high-consumption outliers that drive the upper tail. This confirms that most Iowa counties exhibit moderate consumption levels, while only a few counties account for extreme per-capita spending. These high-spending counties are therefore the most relevant for targeted prevention and monitoring policies.</w:t>
      </w:r>
    </w:p>
    <w:p w14:paraId="3BC7C4BB"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3353D176"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1B156C38"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4095F9DE"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0A376515"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13201C91"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2FB39CE0"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502534BD"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46E1D31C" w14:textId="1896115F"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r w:rsidRPr="00BB4B26">
        <w:rPr>
          <w:rFonts w:asciiTheme="majorBidi" w:eastAsia="Times New Roman" w:hAnsiTheme="majorBidi" w:cstheme="majorBidi"/>
          <w:b/>
          <w:bCs/>
          <w:kern w:val="0"/>
          <w14:ligatures w14:val="none"/>
        </w:rPr>
        <w:t xml:space="preserve">Figure </w:t>
      </w:r>
      <w:r>
        <w:rPr>
          <w:rFonts w:asciiTheme="majorBidi" w:eastAsia="Times New Roman" w:hAnsiTheme="majorBidi" w:cstheme="majorBidi"/>
          <w:b/>
          <w:bCs/>
          <w:kern w:val="0"/>
          <w14:ligatures w14:val="none"/>
        </w:rPr>
        <w:t>4</w:t>
      </w:r>
      <w:r w:rsidRPr="00BB4B26">
        <w:rPr>
          <w:rFonts w:asciiTheme="majorBidi" w:eastAsia="Times New Roman" w:hAnsiTheme="majorBidi" w:cstheme="majorBidi"/>
          <w:b/>
          <w:bCs/>
          <w:kern w:val="0"/>
          <w14:ligatures w14:val="none"/>
        </w:rPr>
        <w:t>. Correlation Matrix (Python Output)</w:t>
      </w:r>
    </w:p>
    <w:p w14:paraId="5C1FFE09" w14:textId="00281C15"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r>
        <w:rPr>
          <w:rFonts w:asciiTheme="majorBidi" w:eastAsia="Times New Roman" w:hAnsiTheme="majorBidi" w:cstheme="majorBidi"/>
          <w:b/>
          <w:bCs/>
          <w:noProof/>
          <w:kern w:val="0"/>
        </w:rPr>
        <w:drawing>
          <wp:inline distT="0" distB="0" distL="0" distR="0" wp14:anchorId="1DC9F898" wp14:editId="686A5F74">
            <wp:extent cx="3193026" cy="2660855"/>
            <wp:effectExtent l="0" t="0" r="0" b="6350"/>
            <wp:docPr id="2043306628"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06628" name="Picture 6" descr="A diagram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9460" cy="2666217"/>
                    </a:xfrm>
                    <a:prstGeom prst="rect">
                      <a:avLst/>
                    </a:prstGeom>
                  </pic:spPr>
                </pic:pic>
              </a:graphicData>
            </a:graphic>
          </wp:inline>
        </w:drawing>
      </w:r>
    </w:p>
    <w:p w14:paraId="56D6C1C8" w14:textId="33DD4B28" w:rsidR="00EA3F14" w:rsidRDefault="00EA3F14" w:rsidP="00EA3F14">
      <w:pPr>
        <w:pStyle w:val="NormalWeb"/>
      </w:pPr>
      <w:r>
        <w:t xml:space="preserve">Figure 4 presents the Python-generated correlation matrix quantifying relationships among income, population, total </w:t>
      </w:r>
      <w:r w:rsidR="007C5B4A">
        <w:t>sales</w:t>
      </w:r>
      <w:r>
        <w:t>, and liquor dollars per capita. The key result is the Pearson correlation between median income and liquor dollars per capita (r ≈ −0.11), indicating an extremely weak, slightly negative, and statistically negligible association. By contrast, population and total sales exhibit a near-perfect correlation (r ≈ 0.99), while population and per-capita spending show only a moderate relationship (r ≈ 0.47). This confirms that total sales are population-driven, not income-driven, while per-capita consumption is largely independent of income.</w:t>
      </w:r>
    </w:p>
    <w:p w14:paraId="093877EE"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E7F0F58"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1E9A195"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4B585AC"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66979DF"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A97A212"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33985FE"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58F9A3F"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30F898C"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570E7B5" w14:textId="061C816D" w:rsidR="00BB4B26" w:rsidRDefault="00BB4B26"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26">
        <w:rPr>
          <w:rFonts w:ascii="Times New Roman" w:eastAsia="Times New Roman" w:hAnsi="Times New Roman" w:cs="Times New Roman"/>
          <w:b/>
          <w:bCs/>
          <w:kern w:val="0"/>
          <w:sz w:val="27"/>
          <w:szCs w:val="27"/>
          <w14:ligatures w14:val="none"/>
        </w:rPr>
        <w:t>Figure 5. Total Liquor Sales by County (All Counties)</w:t>
      </w:r>
    </w:p>
    <w:p w14:paraId="239328B4" w14:textId="4AD2708C" w:rsidR="00BB4B26" w:rsidRPr="00BB4B26" w:rsidRDefault="00BB4B26"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06348FDE" wp14:editId="1CA7B228">
            <wp:extent cx="3611865" cy="5434781"/>
            <wp:effectExtent l="0" t="0" r="0" b="1270"/>
            <wp:docPr id="1411963063" name="Picture 7"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63063" name="Picture 7" descr="A graph of a number of peopl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6475" cy="5441717"/>
                    </a:xfrm>
                    <a:prstGeom prst="rect">
                      <a:avLst/>
                    </a:prstGeom>
                  </pic:spPr>
                </pic:pic>
              </a:graphicData>
            </a:graphic>
          </wp:inline>
        </w:drawing>
      </w:r>
    </w:p>
    <w:p w14:paraId="31CCC732"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kern w:val="0"/>
          <w14:ligatures w14:val="none"/>
        </w:rPr>
      </w:pPr>
      <w:r w:rsidRPr="00EA3F14">
        <w:rPr>
          <w:rFonts w:ascii="Times New Roman" w:eastAsia="Times New Roman" w:hAnsi="Times New Roman" w:cs="Times New Roman"/>
          <w:kern w:val="0"/>
          <w14:ligatures w14:val="none"/>
        </w:rPr>
        <w:t>Figure 5 shows the ranked distribution of total liquor sales across all Iowa counties. Sales are extremely concentrated in a small number of urban counties, led by Polk, Linn, Johnson, and Scott. These counties generate tens of millions of dollars annually, while many rural counties generate less than $2 million. This highlights the dominance of population size and commercial infrastructure in determining total revenue and explains why total sales alone cannot be used to infer individual consumption behavior.</w:t>
      </w:r>
    </w:p>
    <w:p w14:paraId="345FFB23"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kern w:val="0"/>
          <w14:ligatures w14:val="none"/>
        </w:rPr>
      </w:pPr>
    </w:p>
    <w:p w14:paraId="5EBF5D7A"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kern w:val="0"/>
          <w14:ligatures w14:val="none"/>
        </w:rPr>
      </w:pPr>
    </w:p>
    <w:p w14:paraId="143DDE59" w14:textId="6E71E8AF" w:rsidR="00BB4B26" w:rsidRDefault="00BB4B26"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26">
        <w:rPr>
          <w:rFonts w:ascii="Times New Roman" w:eastAsia="Times New Roman" w:hAnsi="Times New Roman" w:cs="Times New Roman"/>
          <w:b/>
          <w:bCs/>
          <w:kern w:val="0"/>
          <w:sz w:val="27"/>
          <w:szCs w:val="27"/>
          <w14:ligatures w14:val="none"/>
        </w:rPr>
        <w:lastRenderedPageBreak/>
        <w:t>Figure 6. Liquor Dollars Per Capita by County (Top 10)</w:t>
      </w:r>
    </w:p>
    <w:p w14:paraId="76011A6E" w14:textId="317FFB98" w:rsidR="00BB4B26" w:rsidRPr="00BB4B26" w:rsidRDefault="00BB4B26"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15E3D72E" wp14:editId="1A8D8CA7">
            <wp:extent cx="5943600" cy="1501775"/>
            <wp:effectExtent l="0" t="0" r="0" b="0"/>
            <wp:docPr id="1724282495"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2495" name="Picture 8" descr="A screenshot of a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501775"/>
                    </a:xfrm>
                    <a:prstGeom prst="rect">
                      <a:avLst/>
                    </a:prstGeom>
                  </pic:spPr>
                </pic:pic>
              </a:graphicData>
            </a:graphic>
          </wp:inline>
        </w:drawing>
      </w:r>
    </w:p>
    <w:p w14:paraId="4C606D32" w14:textId="77777777" w:rsidR="00EA3F14" w:rsidRDefault="00EA3F14" w:rsidP="00BB4B26">
      <w:pPr>
        <w:spacing w:before="100" w:beforeAutospacing="1" w:after="100" w:afterAutospacing="1" w:line="240" w:lineRule="auto"/>
        <w:rPr>
          <w:rFonts w:ascii="Times New Roman" w:eastAsia="Times New Roman" w:hAnsi="Times New Roman" w:cs="Times New Roman"/>
          <w:kern w:val="0"/>
          <w14:ligatures w14:val="none"/>
        </w:rPr>
      </w:pPr>
      <w:r w:rsidRPr="00EA3F14">
        <w:rPr>
          <w:rFonts w:ascii="Times New Roman" w:eastAsia="Times New Roman" w:hAnsi="Times New Roman" w:cs="Times New Roman"/>
          <w:kern w:val="0"/>
          <w14:ligatures w14:val="none"/>
        </w:rPr>
        <w:t>Figure 6 ranks counties by per-capita liquor spending and presents a dramatically different pattern than total sales. Several smaller, less populous counties emerge among the top spenders per resident despite not being revenue leaders. This figure is policy-critical because it identifies counties with disproportionately high individual consumption, which are priority targets for education, prevention, and public health interventions. These locations represent the highest alcohol-related behavioral risk zones in the state.</w:t>
      </w:r>
    </w:p>
    <w:p w14:paraId="48708839" w14:textId="726F0D2A" w:rsidR="007C5B4A" w:rsidRDefault="007C5B4A" w:rsidP="00BB4B26">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All figures are reproduced in Appendix A for reference</w:t>
      </w:r>
      <w:r>
        <w:rPr>
          <w:rFonts w:ascii="Times New Roman" w:eastAsia="Times New Roman" w:hAnsi="Times New Roman" w:cs="Times New Roman"/>
          <w:kern w:val="0"/>
          <w14:ligatures w14:val="none"/>
        </w:rPr>
        <w:t xml:space="preserve">. </w:t>
      </w:r>
    </w:p>
    <w:p w14:paraId="0E610F84" w14:textId="5AECE029" w:rsidR="00BB4B26" w:rsidRPr="00626557" w:rsidRDefault="0043291B" w:rsidP="00BB4B26">
      <w:p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All t</w:t>
      </w:r>
      <w:r w:rsidR="00626557" w:rsidRPr="00626557">
        <w:rPr>
          <w:rFonts w:asciiTheme="majorBidi" w:eastAsia="Times New Roman" w:hAnsiTheme="majorBidi" w:cstheme="majorBidi"/>
          <w:kern w:val="0"/>
          <w14:ligatures w14:val="none"/>
        </w:rPr>
        <w:t>h</w:t>
      </w:r>
      <w:r w:rsidR="00D32200">
        <w:rPr>
          <w:rFonts w:asciiTheme="majorBidi" w:eastAsia="Times New Roman" w:hAnsiTheme="majorBidi" w:cstheme="majorBidi"/>
          <w:kern w:val="0"/>
          <w14:ligatures w14:val="none"/>
        </w:rPr>
        <w:t>ese</w:t>
      </w:r>
      <w:r w:rsidR="00626557" w:rsidRPr="00626557">
        <w:rPr>
          <w:rFonts w:asciiTheme="majorBidi" w:eastAsia="Times New Roman" w:hAnsiTheme="majorBidi" w:cstheme="majorBidi"/>
          <w:kern w:val="0"/>
          <w14:ligatures w14:val="none"/>
        </w:rPr>
        <w:t xml:space="preserve"> visual</w:t>
      </w:r>
      <w:r w:rsidR="00D32200">
        <w:rPr>
          <w:rFonts w:asciiTheme="majorBidi" w:eastAsia="Times New Roman" w:hAnsiTheme="majorBidi" w:cstheme="majorBidi"/>
          <w:kern w:val="0"/>
          <w14:ligatures w14:val="none"/>
        </w:rPr>
        <w:t>s</w:t>
      </w:r>
      <w:r w:rsidR="00626557" w:rsidRPr="00626557">
        <w:rPr>
          <w:rFonts w:asciiTheme="majorBidi" w:eastAsia="Times New Roman" w:hAnsiTheme="majorBidi" w:cstheme="majorBidi"/>
          <w:kern w:val="0"/>
          <w14:ligatures w14:val="none"/>
        </w:rPr>
        <w:t xml:space="preserve"> reinforce the conclusion that:</w:t>
      </w:r>
    </w:p>
    <w:p w14:paraId="14EA143D"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Liquor consumption behavior in Iowa does not scale predictably with income.</w:t>
      </w:r>
    </w:p>
    <w:p w14:paraId="74CD3CC6" w14:textId="77777777" w:rsidR="00BB4B26" w:rsidRDefault="00BB4B26" w:rsidP="00BB4B26">
      <w:pPr>
        <w:pStyle w:val="NormalWeb"/>
      </w:pPr>
      <w:r>
        <w:t>Taken together, the full set of visual analytics demonstrates a clear and consistent narrative:</w:t>
      </w:r>
    </w:p>
    <w:p w14:paraId="00A16242" w14:textId="77777777" w:rsidR="00BB4B26" w:rsidRDefault="00BB4B26" w:rsidP="00BB4B26">
      <w:pPr>
        <w:pStyle w:val="NormalWeb"/>
        <w:numPr>
          <w:ilvl w:val="0"/>
          <w:numId w:val="36"/>
        </w:numPr>
      </w:pPr>
      <w:r>
        <w:rPr>
          <w:rStyle w:val="Strong"/>
          <w:rFonts w:eastAsiaTheme="majorEastAsia"/>
        </w:rPr>
        <w:t>Total liquor revenue scales with population</w:t>
      </w:r>
      <w:r>
        <w:t>, not income</w:t>
      </w:r>
    </w:p>
    <w:p w14:paraId="4A4327DC" w14:textId="77777777" w:rsidR="00BB4B26" w:rsidRDefault="00BB4B26" w:rsidP="00BB4B26">
      <w:pPr>
        <w:pStyle w:val="NormalWeb"/>
        <w:numPr>
          <w:ilvl w:val="0"/>
          <w:numId w:val="36"/>
        </w:numPr>
      </w:pPr>
      <w:r>
        <w:rPr>
          <w:rStyle w:val="Strong"/>
          <w:rFonts w:eastAsiaTheme="majorEastAsia"/>
        </w:rPr>
        <w:t>Per-capita liquor consumption shows no meaningful relationship with income</w:t>
      </w:r>
    </w:p>
    <w:p w14:paraId="0D5D115F" w14:textId="77777777" w:rsidR="00BB4B26" w:rsidRDefault="00BB4B26" w:rsidP="00BB4B26">
      <w:pPr>
        <w:pStyle w:val="NormalWeb"/>
        <w:numPr>
          <w:ilvl w:val="0"/>
          <w:numId w:val="36"/>
        </w:numPr>
      </w:pPr>
      <w:r>
        <w:rPr>
          <w:rStyle w:val="Strong"/>
          <w:rFonts w:eastAsiaTheme="majorEastAsia"/>
        </w:rPr>
        <w:t>High-risk counties only become visible after per-capita normalization</w:t>
      </w:r>
    </w:p>
    <w:p w14:paraId="46701E69" w14:textId="77777777" w:rsidR="00BB4B26" w:rsidRDefault="00BB4B26" w:rsidP="00BB4B26">
      <w:pPr>
        <w:pStyle w:val="NormalWeb"/>
        <w:numPr>
          <w:ilvl w:val="0"/>
          <w:numId w:val="36"/>
        </w:numPr>
      </w:pPr>
      <w:r>
        <w:rPr>
          <w:rStyle w:val="Strong"/>
          <w:rFonts w:eastAsiaTheme="majorEastAsia"/>
        </w:rPr>
        <w:t>Revenue leaders and high-consumption counties are not the same places</w:t>
      </w:r>
    </w:p>
    <w:p w14:paraId="564B8520" w14:textId="25D59226" w:rsidR="00BB4B26" w:rsidRDefault="00BB4B26" w:rsidP="00BB4B26">
      <w:pPr>
        <w:pStyle w:val="NormalWeb"/>
      </w:pPr>
      <w:r>
        <w:t>This</w:t>
      </w:r>
      <w:r>
        <w:t xml:space="preserve"> also</w:t>
      </w:r>
      <w:r>
        <w:t xml:space="preserve"> confirms that </w:t>
      </w:r>
      <w:r>
        <w:rPr>
          <w:rStyle w:val="Strong"/>
          <w:rFonts w:eastAsiaTheme="majorEastAsia"/>
        </w:rPr>
        <w:t>market size effects must be carefully separated from behavioral consumption patterns</w:t>
      </w:r>
      <w:r>
        <w:t xml:space="preserve"> when designing public policy.</w:t>
      </w:r>
    </w:p>
    <w:p w14:paraId="12C04A96"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92746E7" w14:textId="24E2255E"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Suggested Analytic Extension (Excursion)</w:t>
      </w:r>
    </w:p>
    <w:p w14:paraId="52D7ECF3"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 meaningful next extension would be to:</w:t>
      </w:r>
    </w:p>
    <w:p w14:paraId="40AA08BC"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Decompose liquor spending by </w:t>
      </w:r>
      <w:r w:rsidRPr="00626557">
        <w:rPr>
          <w:rFonts w:asciiTheme="majorBidi" w:eastAsia="Times New Roman" w:hAnsiTheme="majorBidi" w:cstheme="majorBidi"/>
          <w:b/>
          <w:bCs/>
          <w:kern w:val="0"/>
          <w14:ligatures w14:val="none"/>
        </w:rPr>
        <w:t>product type</w:t>
      </w:r>
      <w:r w:rsidRPr="00626557">
        <w:rPr>
          <w:rFonts w:asciiTheme="majorBidi" w:eastAsia="Times New Roman" w:hAnsiTheme="majorBidi" w:cstheme="majorBidi"/>
          <w:kern w:val="0"/>
          <w14:ligatures w14:val="none"/>
        </w:rPr>
        <w:t xml:space="preserve"> (beer, wine, spirits),</w:t>
      </w:r>
    </w:p>
    <w:p w14:paraId="561DE1B2"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Control for </w:t>
      </w:r>
      <w:r w:rsidRPr="00626557">
        <w:rPr>
          <w:rFonts w:asciiTheme="majorBidi" w:eastAsia="Times New Roman" w:hAnsiTheme="majorBidi" w:cstheme="majorBidi"/>
          <w:b/>
          <w:bCs/>
          <w:kern w:val="0"/>
          <w14:ligatures w14:val="none"/>
        </w:rPr>
        <w:t>urbanization, tourism, and age distribution</w:t>
      </w:r>
      <w:r w:rsidRPr="00626557">
        <w:rPr>
          <w:rFonts w:asciiTheme="majorBidi" w:eastAsia="Times New Roman" w:hAnsiTheme="majorBidi" w:cstheme="majorBidi"/>
          <w:kern w:val="0"/>
          <w14:ligatures w14:val="none"/>
        </w:rPr>
        <w:t>,</w:t>
      </w:r>
    </w:p>
    <w:p w14:paraId="53685BDB"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And apply </w:t>
      </w:r>
      <w:r w:rsidRPr="00626557">
        <w:rPr>
          <w:rFonts w:asciiTheme="majorBidi" w:eastAsia="Times New Roman" w:hAnsiTheme="majorBidi" w:cstheme="majorBidi"/>
          <w:b/>
          <w:bCs/>
          <w:kern w:val="0"/>
          <w14:ligatures w14:val="none"/>
        </w:rPr>
        <w:t>panel data across multiple years</w:t>
      </w:r>
      <w:r w:rsidRPr="00626557">
        <w:rPr>
          <w:rFonts w:asciiTheme="majorBidi" w:eastAsia="Times New Roman" w:hAnsiTheme="majorBidi" w:cstheme="majorBidi"/>
          <w:kern w:val="0"/>
          <w14:ligatures w14:val="none"/>
        </w:rPr>
        <w:t>.</w:t>
      </w:r>
    </w:p>
    <w:p w14:paraId="2E2B38A0" w14:textId="1DE0BC0D"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These additional variables would allow for causal modeling rather than simple correlation.</w:t>
      </w:r>
    </w:p>
    <w:p w14:paraId="4B282705"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lastRenderedPageBreak/>
        <w:t>Advantages &amp; Challenges of the Software Tools</w:t>
      </w:r>
    </w:p>
    <w:tbl>
      <w:tblPr>
        <w:tblStyle w:val="TableGrid"/>
        <w:tblW w:w="0" w:type="auto"/>
        <w:tblLook w:val="04A0" w:firstRow="1" w:lastRow="0" w:firstColumn="1" w:lastColumn="0" w:noHBand="0" w:noVBand="1"/>
      </w:tblPr>
      <w:tblGrid>
        <w:gridCol w:w="3116"/>
        <w:gridCol w:w="3117"/>
        <w:gridCol w:w="3117"/>
      </w:tblGrid>
      <w:tr w:rsidR="00626557" w14:paraId="2C7FDE7C" w14:textId="77777777" w:rsidTr="00D650EF">
        <w:tc>
          <w:tcPr>
            <w:tcW w:w="3116" w:type="dxa"/>
            <w:vAlign w:val="center"/>
          </w:tcPr>
          <w:p w14:paraId="63CB20E2" w14:textId="3C6B8E1C"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Tool</w:t>
            </w:r>
          </w:p>
        </w:tc>
        <w:tc>
          <w:tcPr>
            <w:tcW w:w="3117" w:type="dxa"/>
            <w:vAlign w:val="center"/>
          </w:tcPr>
          <w:p w14:paraId="02B96821" w14:textId="610A9A0B"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Advantages</w:t>
            </w:r>
          </w:p>
        </w:tc>
        <w:tc>
          <w:tcPr>
            <w:tcW w:w="3117" w:type="dxa"/>
            <w:vAlign w:val="center"/>
          </w:tcPr>
          <w:p w14:paraId="1DDC6E4A" w14:textId="6EC48FCE"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Challenges</w:t>
            </w:r>
          </w:p>
        </w:tc>
      </w:tr>
      <w:tr w:rsidR="00626557" w14:paraId="119BBE65" w14:textId="77777777" w:rsidTr="00DB5F13">
        <w:trPr>
          <w:trHeight w:val="694"/>
        </w:trPr>
        <w:tc>
          <w:tcPr>
            <w:tcW w:w="3116" w:type="dxa"/>
            <w:vAlign w:val="center"/>
          </w:tcPr>
          <w:p w14:paraId="4086FE1C" w14:textId="70BB5243"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SQL</w:t>
            </w:r>
          </w:p>
        </w:tc>
        <w:tc>
          <w:tcPr>
            <w:tcW w:w="3117" w:type="dxa"/>
            <w:vAlign w:val="center"/>
          </w:tcPr>
          <w:p w14:paraId="15CF4174" w14:textId="5763A830"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Excellent for large-scale aggregation and joins</w:t>
            </w:r>
          </w:p>
        </w:tc>
        <w:tc>
          <w:tcPr>
            <w:tcW w:w="3117" w:type="dxa"/>
            <w:vAlign w:val="center"/>
          </w:tcPr>
          <w:p w14:paraId="4B0ECB58" w14:textId="25380C2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Limited visualization, less flexible transformation</w:t>
            </w:r>
          </w:p>
        </w:tc>
      </w:tr>
      <w:tr w:rsidR="00626557" w14:paraId="7E599866" w14:textId="77777777" w:rsidTr="00DB5F13">
        <w:trPr>
          <w:trHeight w:val="702"/>
        </w:trPr>
        <w:tc>
          <w:tcPr>
            <w:tcW w:w="3116" w:type="dxa"/>
            <w:vAlign w:val="center"/>
          </w:tcPr>
          <w:p w14:paraId="1EE3F0DA" w14:textId="723748BF"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R</w:t>
            </w:r>
          </w:p>
        </w:tc>
        <w:tc>
          <w:tcPr>
            <w:tcW w:w="3117" w:type="dxa"/>
            <w:vAlign w:val="center"/>
          </w:tcPr>
          <w:p w14:paraId="299B8B9A" w14:textId="4219BCF5"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Powerful statistical tools and </w:t>
            </w:r>
            <w:r w:rsidR="001F21E1">
              <w:rPr>
                <w:rFonts w:asciiTheme="majorBidi" w:eastAsia="Times New Roman" w:hAnsiTheme="majorBidi" w:cstheme="majorBidi"/>
                <w:kern w:val="0"/>
                <w14:ligatures w14:val="none"/>
              </w:rPr>
              <w:t xml:space="preserve">good for </w:t>
            </w:r>
            <w:r w:rsidRPr="00626557">
              <w:rPr>
                <w:rFonts w:asciiTheme="majorBidi" w:eastAsia="Times New Roman" w:hAnsiTheme="majorBidi" w:cstheme="majorBidi"/>
                <w:kern w:val="0"/>
                <w14:ligatures w14:val="none"/>
              </w:rPr>
              <w:t>clean</w:t>
            </w:r>
            <w:r w:rsidR="001F21E1">
              <w:rPr>
                <w:rFonts w:asciiTheme="majorBidi" w:eastAsia="Times New Roman" w:hAnsiTheme="majorBidi" w:cstheme="majorBidi"/>
                <w:kern w:val="0"/>
                <w14:ligatures w14:val="none"/>
              </w:rPr>
              <w:t>ing</w:t>
            </w:r>
            <w:r w:rsidRPr="00626557">
              <w:rPr>
                <w:rFonts w:asciiTheme="majorBidi" w:eastAsia="Times New Roman" w:hAnsiTheme="majorBidi" w:cstheme="majorBidi"/>
                <w:kern w:val="0"/>
                <w14:ligatures w14:val="none"/>
              </w:rPr>
              <w:t xml:space="preserve"> data </w:t>
            </w:r>
          </w:p>
        </w:tc>
        <w:tc>
          <w:tcPr>
            <w:tcW w:w="3117" w:type="dxa"/>
            <w:vAlign w:val="center"/>
          </w:tcPr>
          <w:p w14:paraId="4F475375" w14:textId="5D8850DF"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Requires scripting fluency</w:t>
            </w:r>
          </w:p>
        </w:tc>
      </w:tr>
      <w:tr w:rsidR="00626557" w14:paraId="073F5A9B" w14:textId="77777777" w:rsidTr="00DB5F13">
        <w:trPr>
          <w:trHeight w:val="710"/>
        </w:trPr>
        <w:tc>
          <w:tcPr>
            <w:tcW w:w="3116" w:type="dxa"/>
            <w:vAlign w:val="center"/>
          </w:tcPr>
          <w:p w14:paraId="4E388CA5" w14:textId="5193705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Python</w:t>
            </w:r>
          </w:p>
        </w:tc>
        <w:tc>
          <w:tcPr>
            <w:tcW w:w="3117" w:type="dxa"/>
            <w:vAlign w:val="center"/>
          </w:tcPr>
          <w:p w14:paraId="6A787F10" w14:textId="2049F168"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Best balance of modeling, automation, and visualization</w:t>
            </w:r>
          </w:p>
        </w:tc>
        <w:tc>
          <w:tcPr>
            <w:tcW w:w="3117" w:type="dxa"/>
            <w:vAlign w:val="center"/>
          </w:tcPr>
          <w:p w14:paraId="2BAF82F2" w14:textId="4FBEEBE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File path management and environments can be complex</w:t>
            </w:r>
          </w:p>
        </w:tc>
      </w:tr>
    </w:tbl>
    <w:p w14:paraId="34010F7F" w14:textId="7CBBAA1E"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Using all three tools allowed us to:</w:t>
      </w:r>
    </w:p>
    <w:p w14:paraId="27BC5A26" w14:textId="77777777" w:rsidR="00626557" w:rsidRPr="00626557" w:rsidRDefault="00626557" w:rsidP="00626557">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Cross-validate results,</w:t>
      </w:r>
    </w:p>
    <w:p w14:paraId="7FDB2391" w14:textId="77777777" w:rsidR="00626557" w:rsidRPr="00626557" w:rsidRDefault="00626557" w:rsidP="00626557">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Leverage each platform’s strengths,</w:t>
      </w:r>
    </w:p>
    <w:p w14:paraId="63CFC6EB" w14:textId="27421A9C" w:rsidR="001F21E1" w:rsidRPr="00626557" w:rsidRDefault="00626557" w:rsidP="0043291B">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improve overall methodological robustness.</w:t>
      </w:r>
    </w:p>
    <w:p w14:paraId="2CE61101" w14:textId="66FCD4D5"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 xml:space="preserve">4. Conclusion </w:t>
      </w:r>
    </w:p>
    <w:p w14:paraId="112714C7"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project applied a full analytical pipeline:</w:t>
      </w:r>
    </w:p>
    <w:p w14:paraId="2354DFBA"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Data ingestion and aggregation</w:t>
      </w:r>
    </w:p>
    <w:p w14:paraId="0A179659"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Normalization through per-capita transformation</w:t>
      </w:r>
    </w:p>
    <w:p w14:paraId="45EF9B84"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Correlation testing</w:t>
      </w:r>
    </w:p>
    <w:p w14:paraId="142DDFDD"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Visualization and interpretation</w:t>
      </w:r>
    </w:p>
    <w:p w14:paraId="3EF1CAA5"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Cross-platform validation</w:t>
      </w:r>
    </w:p>
    <w:p w14:paraId="5CF7FFF8"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Final Answer to the Research Question</w:t>
      </w:r>
    </w:p>
    <w:p w14:paraId="3123B9BE"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Median household income is not a meaningful predictor of liquor spending per capita across Iowa counties.</w:t>
      </w:r>
    </w:p>
    <w:p w14:paraId="58A2CCF3" w14:textId="521C58A0" w:rsidR="0043291B" w:rsidRPr="007C5B4A" w:rsidRDefault="00626557" w:rsidP="007C5B4A">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While small statistical noise exists, there is no economically significant relationship between income and individual liquor consumption at the county level.</w:t>
      </w:r>
      <w:r w:rsidR="007C5B4A">
        <w:rPr>
          <w:rFonts w:asciiTheme="majorBidi" w:eastAsia="Times New Roman" w:hAnsiTheme="majorBidi" w:cstheme="majorBidi"/>
          <w:kern w:val="0"/>
          <w14:ligatures w14:val="none"/>
        </w:rPr>
        <w:t xml:space="preserve"> </w:t>
      </w:r>
      <w:r w:rsidR="007C5B4A" w:rsidRPr="007C5B4A">
        <w:rPr>
          <w:rFonts w:asciiTheme="majorBidi" w:eastAsia="Times New Roman" w:hAnsiTheme="majorBidi" w:cstheme="majorBidi"/>
          <w:kern w:val="0"/>
          <w14:ligatures w14:val="none"/>
        </w:rPr>
        <w:t>For Iowa state public health and revenue officials, this means that income-based taxation schemes are unlikely to improve either equity or efficiency.</w:t>
      </w:r>
    </w:p>
    <w:p w14:paraId="136BE416" w14:textId="2E0388C6"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Limitations</w:t>
      </w:r>
    </w:p>
    <w:p w14:paraId="2D19D92A"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Single-year analysis</w:t>
      </w:r>
    </w:p>
    <w:p w14:paraId="53ACEA70"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 behavioral controls (age, tourism, density)</w:t>
      </w:r>
    </w:p>
    <w:p w14:paraId="2BAA9DC9"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 causal inference</w:t>
      </w:r>
    </w:p>
    <w:p w14:paraId="4B73EC5B"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County-level averages mask within-county inequality</w:t>
      </w:r>
    </w:p>
    <w:p w14:paraId="393F2BB6"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lastRenderedPageBreak/>
        <w:t>Recommended Future Work</w:t>
      </w:r>
    </w:p>
    <w:p w14:paraId="477CB7FD" w14:textId="77777777" w:rsidR="00626557" w:rsidRPr="00626557" w:rsidRDefault="00626557" w:rsidP="00626557">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Multi-year panel analysis</w:t>
      </w:r>
    </w:p>
    <w:p w14:paraId="16AB3AB5" w14:textId="77777777" w:rsidR="00626557" w:rsidRPr="00626557" w:rsidRDefault="00626557" w:rsidP="00626557">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Product-specific consumption modeling</w:t>
      </w:r>
    </w:p>
    <w:p w14:paraId="5E023B87" w14:textId="57FBD5E8" w:rsidR="00626557" w:rsidRDefault="00626557" w:rsidP="001F21E1">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Incorporation of public health outcomes</w:t>
      </w:r>
    </w:p>
    <w:p w14:paraId="26186AB0" w14:textId="77777777" w:rsidR="001F21E1" w:rsidRPr="001F21E1"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During our initial SQL-based analysis, we observed a positive relationship between median household income and total liquor sales at the county level. This result reflects the fact that higher-income counties also tend to have larger populations, greater commercial density, and higher overall transaction volume. As a result, these counties naturally generate more total liquor revenue.</w:t>
      </w:r>
    </w:p>
    <w:p w14:paraId="3108906F" w14:textId="77777777" w:rsidR="001F21E1"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However, when we normalized sales by population in Python and R to compute liquor spending on a per-capita basis, this positive relationship disappeared. The per-capita correlation between income and liquor spending was approximately –0.106, indicating a very weak and slightly negative relationship.</w:t>
      </w:r>
    </w:p>
    <w:p w14:paraId="67B31F4B" w14:textId="3099C5B8" w:rsidR="001F21E1" w:rsidRPr="00626557"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This difference is not a contradiction but rather a change in the underlying unit of analysis. Total sales capture market size effects, while per-capita spending captures individual consumption behavior. Together, these findings suggest that while higher-income counties produce more total liquor revenue, higher-income individuals do not consume meaningfully more liquor than lower-income individuals.</w:t>
      </w:r>
    </w:p>
    <w:p w14:paraId="16B28A67" w14:textId="6D656F03"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 xml:space="preserve">5. Policy Recommendation </w:t>
      </w:r>
    </w:p>
    <w:p w14:paraId="5A745B85"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Policy Decision Facing the State</w:t>
      </w:r>
    </w:p>
    <w:p w14:paraId="134F85A1" w14:textId="3805996B" w:rsidR="00E9361C" w:rsidRPr="00E9361C" w:rsidRDefault="00E9361C" w:rsidP="00E9361C">
      <w:p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kern w:val="0"/>
          <w14:ligatures w14:val="none"/>
        </w:rPr>
        <w:t xml:space="preserve">Based on the full empirical evidence from both the statistical analysis and the Tableau geographic dashboards, </w:t>
      </w:r>
      <w:r w:rsidR="004F77FB" w:rsidRPr="004F77FB">
        <w:rPr>
          <w:rFonts w:ascii="Times New Roman" w:eastAsia="Times New Roman" w:hAnsi="Times New Roman" w:cs="Times New Roman"/>
          <w:kern w:val="0"/>
          <w14:ligatures w14:val="none"/>
        </w:rPr>
        <w:t xml:space="preserve">the Office of the Executive Director </w:t>
      </w:r>
      <w:r w:rsidRPr="00E9361C">
        <w:rPr>
          <w:rFonts w:ascii="Times New Roman" w:eastAsia="Times New Roman" w:hAnsi="Times New Roman" w:cs="Times New Roman"/>
          <w:kern w:val="0"/>
          <w14:ligatures w14:val="none"/>
        </w:rPr>
        <w:t>face</w:t>
      </w:r>
      <w:r w:rsidR="004F77FB">
        <w:rPr>
          <w:rFonts w:ascii="Times New Roman" w:eastAsia="Times New Roman" w:hAnsi="Times New Roman" w:cs="Times New Roman"/>
          <w:kern w:val="0"/>
          <w14:ligatures w14:val="none"/>
        </w:rPr>
        <w:t>s</w:t>
      </w:r>
      <w:r w:rsidRPr="00E9361C">
        <w:rPr>
          <w:rFonts w:ascii="Times New Roman" w:eastAsia="Times New Roman" w:hAnsi="Times New Roman" w:cs="Times New Roman"/>
          <w:kern w:val="0"/>
          <w14:ligatures w14:val="none"/>
        </w:rPr>
        <w:t xml:space="preserve"> two central decisions:</w:t>
      </w:r>
    </w:p>
    <w:p w14:paraId="6CC62A35" w14:textId="77777777" w:rsidR="00E9361C" w:rsidRPr="00E9361C" w:rsidRDefault="00E9361C" w:rsidP="00E9361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kern w:val="0"/>
          <w14:ligatures w14:val="none"/>
        </w:rPr>
        <w:t xml:space="preserve">Whether </w:t>
      </w:r>
      <w:r w:rsidRPr="00E9361C">
        <w:rPr>
          <w:rFonts w:ascii="Times New Roman" w:eastAsia="Times New Roman" w:hAnsi="Times New Roman" w:cs="Times New Roman"/>
          <w:b/>
          <w:bCs/>
          <w:kern w:val="0"/>
          <w14:ligatures w14:val="none"/>
        </w:rPr>
        <w:t>alcohol taxation policy should be structured based on income distribution</w:t>
      </w:r>
      <w:r w:rsidRPr="00E9361C">
        <w:rPr>
          <w:rFonts w:ascii="Times New Roman" w:eastAsia="Times New Roman" w:hAnsi="Times New Roman" w:cs="Times New Roman"/>
          <w:kern w:val="0"/>
          <w14:ligatures w14:val="none"/>
        </w:rPr>
        <w:t>, and</w:t>
      </w:r>
    </w:p>
    <w:p w14:paraId="094E205A" w14:textId="77777777" w:rsidR="00E9361C" w:rsidRPr="00E9361C" w:rsidRDefault="00E9361C" w:rsidP="00E9361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kern w:val="0"/>
          <w14:ligatures w14:val="none"/>
        </w:rPr>
        <w:t xml:space="preserve">Whether </w:t>
      </w:r>
      <w:r w:rsidRPr="00E9361C">
        <w:rPr>
          <w:rFonts w:ascii="Times New Roman" w:eastAsia="Times New Roman" w:hAnsi="Times New Roman" w:cs="Times New Roman"/>
          <w:b/>
          <w:bCs/>
          <w:kern w:val="0"/>
          <w14:ligatures w14:val="none"/>
        </w:rPr>
        <w:t>public health prevention resources should be geographically targeted based on observed consumption intensity</w:t>
      </w:r>
      <w:r w:rsidRPr="00E9361C">
        <w:rPr>
          <w:rFonts w:ascii="Times New Roman" w:eastAsia="Times New Roman" w:hAnsi="Times New Roman" w:cs="Times New Roman"/>
          <w:kern w:val="0"/>
          <w14:ligatures w14:val="none"/>
        </w:rPr>
        <w:t>.</w:t>
      </w:r>
    </w:p>
    <w:p w14:paraId="153BE228" w14:textId="00B8A3DC" w:rsidR="00E9361C" w:rsidRPr="00E9361C" w:rsidRDefault="007462CA" w:rsidP="00E9361C">
      <w:pPr>
        <w:spacing w:before="100" w:beforeAutospacing="1" w:after="100" w:afterAutospacing="1" w:line="240" w:lineRule="auto"/>
        <w:rPr>
          <w:rFonts w:ascii="Times New Roman" w:eastAsia="Times New Roman" w:hAnsi="Times New Roman" w:cs="Times New Roman"/>
          <w:kern w:val="0"/>
          <w14:ligatures w14:val="none"/>
        </w:rPr>
      </w:pPr>
      <w:r w:rsidRPr="007462CA">
        <w:rPr>
          <w:rFonts w:ascii="Times New Roman" w:eastAsia="Times New Roman" w:hAnsi="Times New Roman" w:cs="Times New Roman"/>
          <w:kern w:val="0"/>
          <w14:ligatures w14:val="none"/>
        </w:rPr>
        <w:t>The visual analysis confirms that</w:t>
      </w:r>
      <w:r w:rsidR="00E9361C" w:rsidRPr="00E9361C">
        <w:rPr>
          <w:rFonts w:ascii="Times New Roman" w:eastAsia="Times New Roman" w:hAnsi="Times New Roman" w:cs="Times New Roman"/>
          <w:kern w:val="0"/>
          <w14:ligatures w14:val="none"/>
        </w:rPr>
        <w:t>:</w:t>
      </w:r>
    </w:p>
    <w:p w14:paraId="75648DD7" w14:textId="19D39F03" w:rsidR="00E9361C" w:rsidRPr="00E9361C" w:rsidRDefault="00E9361C" w:rsidP="0012668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b/>
          <w:bCs/>
          <w:kern w:val="0"/>
          <w14:ligatures w14:val="none"/>
        </w:rPr>
        <w:t>Total liquor revenue is highly concentrated in a small number of urban counties</w:t>
      </w:r>
      <w:r w:rsidRPr="00E9361C">
        <w:rPr>
          <w:rFonts w:ascii="Times New Roman" w:eastAsia="Times New Roman" w:hAnsi="Times New Roman" w:cs="Times New Roman"/>
          <w:kern w:val="0"/>
          <w14:ligatures w14:val="none"/>
        </w:rPr>
        <w:t xml:space="preserve"> (notably Polk, Linn, Johnson, and Scott), driven primarily by </w:t>
      </w:r>
      <w:r w:rsidRPr="00E9361C">
        <w:rPr>
          <w:rFonts w:ascii="Times New Roman" w:eastAsia="Times New Roman" w:hAnsi="Times New Roman" w:cs="Times New Roman"/>
          <w:b/>
          <w:bCs/>
          <w:kern w:val="0"/>
          <w14:ligatures w14:val="none"/>
        </w:rPr>
        <w:t>population size and commercial density</w:t>
      </w:r>
      <w:r w:rsidRPr="00E9361C">
        <w:rPr>
          <w:rFonts w:ascii="Times New Roman" w:eastAsia="Times New Roman" w:hAnsi="Times New Roman" w:cs="Times New Roman"/>
          <w:kern w:val="0"/>
          <w14:ligatures w14:val="none"/>
        </w:rPr>
        <w:t xml:space="preserve"> </w:t>
      </w:r>
    </w:p>
    <w:p w14:paraId="7934DF2D" w14:textId="77777777" w:rsidR="00E9361C" w:rsidRPr="00E9361C" w:rsidRDefault="00E9361C" w:rsidP="00E9361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b/>
          <w:bCs/>
          <w:kern w:val="0"/>
          <w14:ligatures w14:val="none"/>
        </w:rPr>
        <w:t>Per-capita liquor spending does NOT follow income patterns geographically</w:t>
      </w:r>
      <w:r w:rsidRPr="00E9361C">
        <w:rPr>
          <w:rFonts w:ascii="Times New Roman" w:eastAsia="Times New Roman" w:hAnsi="Times New Roman" w:cs="Times New Roman"/>
          <w:kern w:val="0"/>
          <w14:ligatures w14:val="none"/>
        </w:rPr>
        <w:t xml:space="preserve">, and several of the </w:t>
      </w:r>
      <w:r w:rsidRPr="00E9361C">
        <w:rPr>
          <w:rFonts w:ascii="Times New Roman" w:eastAsia="Times New Roman" w:hAnsi="Times New Roman" w:cs="Times New Roman"/>
          <w:b/>
          <w:bCs/>
          <w:kern w:val="0"/>
          <w14:ligatures w14:val="none"/>
        </w:rPr>
        <w:t>highest per-capita consumption counties are smaller, non-urban counties</w:t>
      </w:r>
      <w:r w:rsidRPr="00E9361C">
        <w:rPr>
          <w:rFonts w:ascii="Times New Roman" w:eastAsia="Times New Roman" w:hAnsi="Times New Roman" w:cs="Times New Roman"/>
          <w:kern w:val="0"/>
          <w14:ligatures w14:val="none"/>
        </w:rPr>
        <w:t xml:space="preserve"> </w:t>
      </w:r>
    </w:p>
    <w:p w14:paraId="0DCDB261" w14:textId="77777777" w:rsidR="00E9361C" w:rsidRPr="00E9361C" w:rsidRDefault="00E9361C" w:rsidP="00E9361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kern w:val="0"/>
          <w14:ligatures w14:val="none"/>
        </w:rPr>
        <w:t xml:space="preserve">The </w:t>
      </w:r>
      <w:r w:rsidRPr="00E9361C">
        <w:rPr>
          <w:rFonts w:ascii="Times New Roman" w:eastAsia="Times New Roman" w:hAnsi="Times New Roman" w:cs="Times New Roman"/>
          <w:b/>
          <w:bCs/>
          <w:kern w:val="0"/>
          <w14:ligatures w14:val="none"/>
        </w:rPr>
        <w:t>correlation matrix and scatterplots confirm that income is not a meaningful predictor of individual liquor consumption</w:t>
      </w:r>
      <w:r w:rsidRPr="00E9361C">
        <w:rPr>
          <w:rFonts w:ascii="Times New Roman" w:eastAsia="Times New Roman" w:hAnsi="Times New Roman" w:cs="Times New Roman"/>
          <w:kern w:val="0"/>
          <w14:ligatures w14:val="none"/>
        </w:rPr>
        <w:t>, with r ≈ –0.106.</w:t>
      </w:r>
    </w:p>
    <w:p w14:paraId="19D6C218"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lastRenderedPageBreak/>
        <w:t>Data-Driven Recommendation</w:t>
      </w:r>
    </w:p>
    <w:p w14:paraId="5EE0D6C1"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Because income is </w:t>
      </w:r>
      <w:r w:rsidRPr="00626557">
        <w:rPr>
          <w:rFonts w:asciiTheme="majorBidi" w:eastAsia="Times New Roman" w:hAnsiTheme="majorBidi" w:cstheme="majorBidi"/>
          <w:b/>
          <w:bCs/>
          <w:kern w:val="0"/>
          <w14:ligatures w14:val="none"/>
        </w:rPr>
        <w:t>not strongly linked</w:t>
      </w:r>
      <w:r w:rsidRPr="00626557">
        <w:rPr>
          <w:rFonts w:asciiTheme="majorBidi" w:eastAsia="Times New Roman" w:hAnsiTheme="majorBidi" w:cstheme="majorBidi"/>
          <w:kern w:val="0"/>
          <w14:ligatures w14:val="none"/>
        </w:rPr>
        <w:t xml:space="preserve"> to liquor consumption per capita, we recommend:</w:t>
      </w:r>
    </w:p>
    <w:p w14:paraId="729B8141"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Targeting alcohol policy interventions based on consumption intensity and public health risk rather than income levels alone.</w:t>
      </w:r>
    </w:p>
    <w:p w14:paraId="0C332AE8" w14:textId="77777777" w:rsidR="00126685" w:rsidRPr="00126685" w:rsidRDefault="00126685" w:rsidP="001266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685">
        <w:rPr>
          <w:rFonts w:ascii="Times New Roman" w:eastAsia="Times New Roman" w:hAnsi="Times New Roman" w:cs="Times New Roman"/>
          <w:b/>
          <w:bCs/>
          <w:kern w:val="0"/>
          <w:sz w:val="27"/>
          <w:szCs w:val="27"/>
          <w14:ligatures w14:val="none"/>
        </w:rPr>
        <w:t>1. Maintain a Uniform Statewide Alcohol Tax Structure</w:t>
      </w:r>
    </w:p>
    <w:p w14:paraId="2201C872"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Because:</w:t>
      </w:r>
    </w:p>
    <w:p w14:paraId="39737FCD" w14:textId="77777777" w:rsidR="00126685" w:rsidRPr="00126685" w:rsidRDefault="00126685" w:rsidP="0012668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Per-capita consumption is </w:t>
      </w:r>
      <w:r w:rsidRPr="00126685">
        <w:rPr>
          <w:rFonts w:ascii="Times New Roman" w:eastAsia="Times New Roman" w:hAnsi="Times New Roman" w:cs="Times New Roman"/>
          <w:b/>
          <w:bCs/>
          <w:kern w:val="0"/>
          <w14:ligatures w14:val="none"/>
        </w:rPr>
        <w:t>statistically independent of income</w:t>
      </w:r>
      <w:r w:rsidRPr="00126685">
        <w:rPr>
          <w:rFonts w:ascii="Times New Roman" w:eastAsia="Times New Roman" w:hAnsi="Times New Roman" w:cs="Times New Roman"/>
          <w:kern w:val="0"/>
          <w14:ligatures w14:val="none"/>
        </w:rPr>
        <w:t>, and</w:t>
      </w:r>
    </w:p>
    <w:p w14:paraId="1EFAB2C4" w14:textId="77777777" w:rsidR="00126685" w:rsidRPr="00126685" w:rsidRDefault="00126685" w:rsidP="0012668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The Tableau geographic maps show </w:t>
      </w:r>
      <w:r w:rsidRPr="00126685">
        <w:rPr>
          <w:rFonts w:ascii="Times New Roman" w:eastAsia="Times New Roman" w:hAnsi="Times New Roman" w:cs="Times New Roman"/>
          <w:b/>
          <w:bCs/>
          <w:kern w:val="0"/>
          <w14:ligatures w14:val="none"/>
        </w:rPr>
        <w:t>no coherent spatial clustering of high consumption in high-income counties</w:t>
      </w:r>
      <w:r w:rsidRPr="00126685">
        <w:rPr>
          <w:rFonts w:ascii="Times New Roman" w:eastAsia="Times New Roman" w:hAnsi="Times New Roman" w:cs="Times New Roman"/>
          <w:kern w:val="0"/>
          <w14:ligatures w14:val="none"/>
        </w:rPr>
        <w:t>,</w:t>
      </w:r>
    </w:p>
    <w:p w14:paraId="12A8D422"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b/>
          <w:bCs/>
          <w:kern w:val="0"/>
          <w14:ligatures w14:val="none"/>
        </w:rPr>
        <w:t>We strongly recommend maintaining a uniform alcohol tax structure across all income groups and counties.</w:t>
      </w:r>
    </w:p>
    <w:p w14:paraId="71DEE867"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An income-adjusted alcohol tax would:</w:t>
      </w:r>
    </w:p>
    <w:p w14:paraId="0F869F46" w14:textId="77777777" w:rsidR="00126685" w:rsidRPr="00126685" w:rsidRDefault="00126685" w:rsidP="0012668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b/>
          <w:bCs/>
          <w:kern w:val="0"/>
          <w14:ligatures w14:val="none"/>
        </w:rPr>
        <w:t>Fail to target the actual high-consumption counties</w:t>
      </w:r>
      <w:r w:rsidRPr="00126685">
        <w:rPr>
          <w:rFonts w:ascii="Times New Roman" w:eastAsia="Times New Roman" w:hAnsi="Times New Roman" w:cs="Times New Roman"/>
          <w:kern w:val="0"/>
          <w14:ligatures w14:val="none"/>
        </w:rPr>
        <w:t>, and</w:t>
      </w:r>
    </w:p>
    <w:p w14:paraId="3A98EA9D" w14:textId="77777777" w:rsidR="00126685" w:rsidRPr="00126685" w:rsidRDefault="00126685" w:rsidP="0012668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Risk introducing </w:t>
      </w:r>
      <w:r w:rsidRPr="00126685">
        <w:rPr>
          <w:rFonts w:ascii="Times New Roman" w:eastAsia="Times New Roman" w:hAnsi="Times New Roman" w:cs="Times New Roman"/>
          <w:b/>
          <w:bCs/>
          <w:kern w:val="0"/>
          <w14:ligatures w14:val="none"/>
        </w:rPr>
        <w:t>inefficient and inequitable distortions</w:t>
      </w:r>
      <w:r w:rsidRPr="00126685">
        <w:rPr>
          <w:rFonts w:ascii="Times New Roman" w:eastAsia="Times New Roman" w:hAnsi="Times New Roman" w:cs="Times New Roman"/>
          <w:kern w:val="0"/>
          <w14:ligatures w14:val="none"/>
        </w:rPr>
        <w:t xml:space="preserve"> into the tax system.</w:t>
      </w:r>
    </w:p>
    <w:p w14:paraId="3AE597C1" w14:textId="77777777" w:rsidR="00126685" w:rsidRPr="00126685" w:rsidRDefault="00126685" w:rsidP="001266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685">
        <w:rPr>
          <w:rFonts w:ascii="Times New Roman" w:eastAsia="Times New Roman" w:hAnsi="Times New Roman" w:cs="Times New Roman"/>
          <w:b/>
          <w:bCs/>
          <w:kern w:val="0"/>
          <w:sz w:val="27"/>
          <w:szCs w:val="27"/>
          <w14:ligatures w14:val="none"/>
        </w:rPr>
        <w:t>2. Target Prevention and Public Health Resources Based on Per-Capita Consumption, Not Income</w:t>
      </w:r>
    </w:p>
    <w:p w14:paraId="14FB9E2F"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The </w:t>
      </w:r>
      <w:r w:rsidRPr="00126685">
        <w:rPr>
          <w:rFonts w:ascii="Times New Roman" w:eastAsia="Times New Roman" w:hAnsi="Times New Roman" w:cs="Times New Roman"/>
          <w:b/>
          <w:bCs/>
          <w:kern w:val="0"/>
          <w14:ligatures w14:val="none"/>
        </w:rPr>
        <w:t>Top-10 Per-Capita Spending counties (Tableau bar chart)</w:t>
      </w:r>
      <w:r w:rsidRPr="00126685">
        <w:rPr>
          <w:rFonts w:ascii="Times New Roman" w:eastAsia="Times New Roman" w:hAnsi="Times New Roman" w:cs="Times New Roman"/>
          <w:kern w:val="0"/>
          <w14:ligatures w14:val="none"/>
        </w:rPr>
        <w:t xml:space="preserve"> identify </w:t>
      </w:r>
      <w:r w:rsidRPr="00126685">
        <w:rPr>
          <w:rFonts w:ascii="Times New Roman" w:eastAsia="Times New Roman" w:hAnsi="Times New Roman" w:cs="Times New Roman"/>
          <w:b/>
          <w:bCs/>
          <w:kern w:val="0"/>
          <w14:ligatures w14:val="none"/>
        </w:rPr>
        <w:t>specific counties with disproportionately high individual alcohol consumption</w:t>
      </w:r>
      <w:r w:rsidRPr="00126685">
        <w:rPr>
          <w:rFonts w:ascii="Times New Roman" w:eastAsia="Times New Roman" w:hAnsi="Times New Roman" w:cs="Times New Roman"/>
          <w:kern w:val="0"/>
          <w14:ligatures w14:val="none"/>
        </w:rPr>
        <w:t>, many of which:</w:t>
      </w:r>
    </w:p>
    <w:p w14:paraId="13F0271A" w14:textId="77777777" w:rsidR="00126685" w:rsidRPr="00126685" w:rsidRDefault="00126685" w:rsidP="001266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Are </w:t>
      </w:r>
      <w:r w:rsidRPr="00126685">
        <w:rPr>
          <w:rFonts w:ascii="Times New Roman" w:eastAsia="Times New Roman" w:hAnsi="Times New Roman" w:cs="Times New Roman"/>
          <w:b/>
          <w:bCs/>
          <w:kern w:val="0"/>
          <w14:ligatures w14:val="none"/>
        </w:rPr>
        <w:t>not revenue leaders</w:t>
      </w:r>
      <w:r w:rsidRPr="00126685">
        <w:rPr>
          <w:rFonts w:ascii="Times New Roman" w:eastAsia="Times New Roman" w:hAnsi="Times New Roman" w:cs="Times New Roman"/>
          <w:kern w:val="0"/>
          <w14:ligatures w14:val="none"/>
        </w:rPr>
        <w:t>,</w:t>
      </w:r>
    </w:p>
    <w:p w14:paraId="7F18C27E" w14:textId="77777777" w:rsidR="00126685" w:rsidRPr="00126685" w:rsidRDefault="00126685" w:rsidP="001266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Are </w:t>
      </w:r>
      <w:r w:rsidRPr="00126685">
        <w:rPr>
          <w:rFonts w:ascii="Times New Roman" w:eastAsia="Times New Roman" w:hAnsi="Times New Roman" w:cs="Times New Roman"/>
          <w:b/>
          <w:bCs/>
          <w:kern w:val="0"/>
          <w14:ligatures w14:val="none"/>
        </w:rPr>
        <w:t>not high-income counties</w:t>
      </w:r>
      <w:r w:rsidRPr="00126685">
        <w:rPr>
          <w:rFonts w:ascii="Times New Roman" w:eastAsia="Times New Roman" w:hAnsi="Times New Roman" w:cs="Times New Roman"/>
          <w:kern w:val="0"/>
          <w14:ligatures w14:val="none"/>
        </w:rPr>
        <w:t>, and</w:t>
      </w:r>
    </w:p>
    <w:p w14:paraId="73EA68DC" w14:textId="77777777" w:rsidR="00126685" w:rsidRPr="00126685" w:rsidRDefault="00126685" w:rsidP="001266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Would be </w:t>
      </w:r>
      <w:r w:rsidRPr="00126685">
        <w:rPr>
          <w:rFonts w:ascii="Times New Roman" w:eastAsia="Times New Roman" w:hAnsi="Times New Roman" w:cs="Times New Roman"/>
          <w:b/>
          <w:bCs/>
          <w:kern w:val="0"/>
          <w14:ligatures w14:val="none"/>
        </w:rPr>
        <w:t>missed entirely by income-based policy targeting</w:t>
      </w:r>
      <w:r w:rsidRPr="00126685">
        <w:rPr>
          <w:rFonts w:ascii="Times New Roman" w:eastAsia="Times New Roman" w:hAnsi="Times New Roman" w:cs="Times New Roman"/>
          <w:kern w:val="0"/>
          <w14:ligatures w14:val="none"/>
        </w:rPr>
        <w:t xml:space="preserve"> </w:t>
      </w:r>
    </w:p>
    <w:p w14:paraId="5E39841F"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Therefore, prevention policy should prioritize:</w:t>
      </w:r>
    </w:p>
    <w:p w14:paraId="5F8E8070" w14:textId="77777777" w:rsidR="00126685" w:rsidRPr="00126685" w:rsidRDefault="00126685" w:rsidP="0012668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High per-capita consumption counties for:</w:t>
      </w:r>
    </w:p>
    <w:p w14:paraId="78E22718" w14:textId="77777777" w:rsidR="00126685" w:rsidRPr="00126685" w:rsidRDefault="00126685" w:rsidP="0012668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Alcohol education programs</w:t>
      </w:r>
    </w:p>
    <w:p w14:paraId="1702BED4" w14:textId="77777777" w:rsidR="00126685" w:rsidRPr="00126685" w:rsidRDefault="00126685" w:rsidP="0012668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Addiction treatment services</w:t>
      </w:r>
    </w:p>
    <w:p w14:paraId="5F5F8F46" w14:textId="77777777" w:rsidR="00126685" w:rsidRPr="00126685" w:rsidRDefault="00126685" w:rsidP="0012668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Community-based intervention</w:t>
      </w:r>
    </w:p>
    <w:p w14:paraId="70085C79" w14:textId="77777777" w:rsidR="00126685" w:rsidRPr="00126685" w:rsidRDefault="00126685" w:rsidP="0012668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Youth substance-abuse prevention</w:t>
      </w:r>
    </w:p>
    <w:p w14:paraId="0BD08B51" w14:textId="77777777" w:rsid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This ensures </w:t>
      </w:r>
      <w:r w:rsidRPr="00126685">
        <w:rPr>
          <w:rFonts w:ascii="Times New Roman" w:eastAsia="Times New Roman" w:hAnsi="Times New Roman" w:cs="Times New Roman"/>
          <w:b/>
          <w:bCs/>
          <w:kern w:val="0"/>
          <w14:ligatures w14:val="none"/>
        </w:rPr>
        <w:t>maximum behavioral impact per public dollar spent</w:t>
      </w:r>
      <w:r w:rsidRPr="00126685">
        <w:rPr>
          <w:rFonts w:ascii="Times New Roman" w:eastAsia="Times New Roman" w:hAnsi="Times New Roman" w:cs="Times New Roman"/>
          <w:kern w:val="0"/>
          <w14:ligatures w14:val="none"/>
        </w:rPr>
        <w:t>.</w:t>
      </w:r>
    </w:p>
    <w:p w14:paraId="65C7E5C6"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p>
    <w:p w14:paraId="20450907" w14:textId="77777777" w:rsidR="00126685" w:rsidRPr="00126685" w:rsidRDefault="00126685" w:rsidP="001266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685">
        <w:rPr>
          <w:rFonts w:ascii="Times New Roman" w:eastAsia="Times New Roman" w:hAnsi="Times New Roman" w:cs="Times New Roman"/>
          <w:b/>
          <w:bCs/>
          <w:kern w:val="0"/>
          <w:sz w:val="27"/>
          <w:szCs w:val="27"/>
          <w14:ligatures w14:val="none"/>
        </w:rPr>
        <w:lastRenderedPageBreak/>
        <w:t>3. Use Total Revenue Counties for Enforcement &amp; Retail Oversight, Not Health Targeting</w:t>
      </w:r>
    </w:p>
    <w:p w14:paraId="13781B80"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Counties with the highest </w:t>
      </w:r>
      <w:r w:rsidRPr="00126685">
        <w:rPr>
          <w:rFonts w:ascii="Times New Roman" w:eastAsia="Times New Roman" w:hAnsi="Times New Roman" w:cs="Times New Roman"/>
          <w:b/>
          <w:bCs/>
          <w:kern w:val="0"/>
          <w14:ligatures w14:val="none"/>
        </w:rPr>
        <w:t>total liquor revenue</w:t>
      </w:r>
      <w:r w:rsidRPr="00126685">
        <w:rPr>
          <w:rFonts w:ascii="Times New Roman" w:eastAsia="Times New Roman" w:hAnsi="Times New Roman" w:cs="Times New Roman"/>
          <w:kern w:val="0"/>
          <w14:ligatures w14:val="none"/>
        </w:rPr>
        <w:t xml:space="preserve"> (Polk, Linn, Johnson, Scott) should be prioritized for:</w:t>
      </w:r>
    </w:p>
    <w:p w14:paraId="01C3BBB2" w14:textId="77777777" w:rsidR="00126685" w:rsidRPr="00126685" w:rsidRDefault="00126685" w:rsidP="001266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Retail compliance inspections</w:t>
      </w:r>
    </w:p>
    <w:p w14:paraId="4D044600" w14:textId="77777777" w:rsidR="00126685" w:rsidRPr="00126685" w:rsidRDefault="00126685" w:rsidP="001266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Distributor auditing</w:t>
      </w:r>
    </w:p>
    <w:p w14:paraId="37FE3988" w14:textId="77777777" w:rsidR="00126685" w:rsidRPr="00126685" w:rsidRDefault="00126685" w:rsidP="001266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Supply chain enforcement</w:t>
      </w:r>
    </w:p>
    <w:p w14:paraId="2EF1E47C" w14:textId="77777777" w:rsidR="00126685" w:rsidRPr="00126685" w:rsidRDefault="00126685" w:rsidP="001266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Revenue forecasting</w:t>
      </w:r>
    </w:p>
    <w:p w14:paraId="10D726DE"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However, </w:t>
      </w:r>
      <w:r w:rsidRPr="00126685">
        <w:rPr>
          <w:rFonts w:ascii="Times New Roman" w:eastAsia="Times New Roman" w:hAnsi="Times New Roman" w:cs="Times New Roman"/>
          <w:b/>
          <w:bCs/>
          <w:kern w:val="0"/>
          <w14:ligatures w14:val="none"/>
        </w:rPr>
        <w:t>they should not be assumed to be high-risk consumption zones</w:t>
      </w:r>
      <w:r w:rsidRPr="00126685">
        <w:rPr>
          <w:rFonts w:ascii="Times New Roman" w:eastAsia="Times New Roman" w:hAnsi="Times New Roman" w:cs="Times New Roman"/>
          <w:kern w:val="0"/>
          <w14:ligatures w14:val="none"/>
        </w:rPr>
        <w:t xml:space="preserve">, as their dominance is </w:t>
      </w:r>
      <w:r w:rsidRPr="00126685">
        <w:rPr>
          <w:rFonts w:ascii="Times New Roman" w:eastAsia="Times New Roman" w:hAnsi="Times New Roman" w:cs="Times New Roman"/>
          <w:b/>
          <w:bCs/>
          <w:kern w:val="0"/>
          <w14:ligatures w14:val="none"/>
        </w:rPr>
        <w:t>entirely population-driven</w:t>
      </w:r>
      <w:r w:rsidRPr="00126685">
        <w:rPr>
          <w:rFonts w:ascii="Times New Roman" w:eastAsia="Times New Roman" w:hAnsi="Times New Roman" w:cs="Times New Roman"/>
          <w:kern w:val="0"/>
          <w14:ligatures w14:val="none"/>
        </w:rPr>
        <w:t>, not behavioral.</w:t>
      </w:r>
    </w:p>
    <w:p w14:paraId="784C88BC" w14:textId="77777777" w:rsidR="00126685" w:rsidRPr="00126685" w:rsidRDefault="00126685" w:rsidP="0012668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26685">
        <w:rPr>
          <w:rFonts w:ascii="Times New Roman" w:eastAsia="Times New Roman" w:hAnsi="Times New Roman" w:cs="Times New Roman"/>
          <w:b/>
          <w:bCs/>
          <w:kern w:val="0"/>
          <w14:ligatures w14:val="none"/>
        </w:rPr>
        <w:t>First-Order Policy Effects</w:t>
      </w:r>
    </w:p>
    <w:p w14:paraId="2B2697CC" w14:textId="77777777" w:rsidR="00126685" w:rsidRPr="00126685" w:rsidRDefault="00126685" w:rsidP="001266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More </w:t>
      </w:r>
      <w:r w:rsidRPr="00126685">
        <w:rPr>
          <w:rFonts w:ascii="Times New Roman" w:eastAsia="Times New Roman" w:hAnsi="Times New Roman" w:cs="Times New Roman"/>
          <w:b/>
          <w:bCs/>
          <w:kern w:val="0"/>
          <w14:ligatures w14:val="none"/>
        </w:rPr>
        <w:t>efficient allocation of prevention funding</w:t>
      </w:r>
    </w:p>
    <w:p w14:paraId="029A3E8F" w14:textId="77777777" w:rsidR="00126685" w:rsidRPr="00126685" w:rsidRDefault="00126685" w:rsidP="001266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Elimination of </w:t>
      </w:r>
      <w:r w:rsidRPr="00126685">
        <w:rPr>
          <w:rFonts w:ascii="Times New Roman" w:eastAsia="Times New Roman" w:hAnsi="Times New Roman" w:cs="Times New Roman"/>
          <w:b/>
          <w:bCs/>
          <w:kern w:val="0"/>
          <w14:ligatures w14:val="none"/>
        </w:rPr>
        <w:t>income-based misclassification of high-risk counties</w:t>
      </w:r>
    </w:p>
    <w:p w14:paraId="725EB86E" w14:textId="77777777" w:rsidR="00126685" w:rsidRPr="00126685" w:rsidRDefault="00126685" w:rsidP="001266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b/>
          <w:bCs/>
          <w:kern w:val="0"/>
          <w14:ligatures w14:val="none"/>
        </w:rPr>
        <w:t>Improved targeting accuracy</w:t>
      </w:r>
      <w:r w:rsidRPr="00126685">
        <w:rPr>
          <w:rFonts w:ascii="Times New Roman" w:eastAsia="Times New Roman" w:hAnsi="Times New Roman" w:cs="Times New Roman"/>
          <w:kern w:val="0"/>
          <w14:ligatures w14:val="none"/>
        </w:rPr>
        <w:t xml:space="preserve"> for addiction services</w:t>
      </w:r>
    </w:p>
    <w:p w14:paraId="578476A3" w14:textId="74B4C1F0" w:rsidR="00126685" w:rsidRPr="00126685" w:rsidRDefault="00126685" w:rsidP="001266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Stronger </w:t>
      </w:r>
      <w:r w:rsidRPr="00126685">
        <w:rPr>
          <w:rFonts w:ascii="Times New Roman" w:eastAsia="Times New Roman" w:hAnsi="Times New Roman" w:cs="Times New Roman"/>
          <w:b/>
          <w:bCs/>
          <w:kern w:val="0"/>
          <w14:ligatures w14:val="none"/>
        </w:rPr>
        <w:t>alignment between policy tools and behavioral data</w:t>
      </w:r>
    </w:p>
    <w:p w14:paraId="0FC83F0F" w14:textId="77777777" w:rsidR="00126685" w:rsidRPr="00126685" w:rsidRDefault="00126685" w:rsidP="0012668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26685">
        <w:rPr>
          <w:rFonts w:ascii="Times New Roman" w:eastAsia="Times New Roman" w:hAnsi="Times New Roman" w:cs="Times New Roman"/>
          <w:b/>
          <w:bCs/>
          <w:kern w:val="0"/>
          <w14:ligatures w14:val="none"/>
        </w:rPr>
        <w:t>Second-Order Policy Effects</w:t>
      </w:r>
    </w:p>
    <w:p w14:paraId="1027CEE3" w14:textId="77777777" w:rsidR="00126685" w:rsidRPr="00126685" w:rsidRDefault="00126685" w:rsidP="001266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Reduction in </w:t>
      </w:r>
      <w:r w:rsidRPr="00126685">
        <w:rPr>
          <w:rFonts w:ascii="Times New Roman" w:eastAsia="Times New Roman" w:hAnsi="Times New Roman" w:cs="Times New Roman"/>
          <w:b/>
          <w:bCs/>
          <w:kern w:val="0"/>
          <w14:ligatures w14:val="none"/>
        </w:rPr>
        <w:t>long-term alcohol-related healthcare costs</w:t>
      </w:r>
    </w:p>
    <w:p w14:paraId="623882ED" w14:textId="77777777" w:rsidR="00126685" w:rsidRPr="00126685" w:rsidRDefault="00126685" w:rsidP="001266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Lower incidence of </w:t>
      </w:r>
      <w:r w:rsidRPr="00126685">
        <w:rPr>
          <w:rFonts w:ascii="Times New Roman" w:eastAsia="Times New Roman" w:hAnsi="Times New Roman" w:cs="Times New Roman"/>
          <w:b/>
          <w:bCs/>
          <w:kern w:val="0"/>
          <w14:ligatures w14:val="none"/>
        </w:rPr>
        <w:t>alcohol-related crime and injury</w:t>
      </w:r>
    </w:p>
    <w:p w14:paraId="2D039B3C" w14:textId="77777777" w:rsidR="00126685" w:rsidRPr="00126685" w:rsidRDefault="00126685" w:rsidP="001266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Improved </w:t>
      </w:r>
      <w:r w:rsidRPr="00126685">
        <w:rPr>
          <w:rFonts w:ascii="Times New Roman" w:eastAsia="Times New Roman" w:hAnsi="Times New Roman" w:cs="Times New Roman"/>
          <w:b/>
          <w:bCs/>
          <w:kern w:val="0"/>
          <w14:ligatures w14:val="none"/>
        </w:rPr>
        <w:t>labor productivity and workforce stability</w:t>
      </w:r>
    </w:p>
    <w:p w14:paraId="5EC2B416" w14:textId="3DB1FD87" w:rsidR="00126685" w:rsidRPr="00126685" w:rsidRDefault="00126685" w:rsidP="001266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Stabilization of </w:t>
      </w:r>
      <w:r w:rsidRPr="00126685">
        <w:rPr>
          <w:rFonts w:ascii="Times New Roman" w:eastAsia="Times New Roman" w:hAnsi="Times New Roman" w:cs="Times New Roman"/>
          <w:b/>
          <w:bCs/>
          <w:kern w:val="0"/>
          <w14:ligatures w14:val="none"/>
        </w:rPr>
        <w:t>state liquor revenue without inequitable taxation</w:t>
      </w:r>
    </w:p>
    <w:p w14:paraId="69F81893" w14:textId="77777777" w:rsid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Benefits</w:t>
      </w:r>
    </w:p>
    <w:p w14:paraId="618A7734" w14:textId="77777777"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Evidence-based targeting</w:t>
      </w:r>
    </w:p>
    <w:p w14:paraId="180BE25B" w14:textId="77777777" w:rsidR="00126685" w:rsidRPr="00126685" w:rsidRDefault="00126685" w:rsidP="00126685">
      <w:pPr>
        <w:spacing w:after="0" w:line="240" w:lineRule="auto"/>
        <w:outlineLvl w:val="2"/>
        <w:rPr>
          <w:rFonts w:asciiTheme="majorBidi" w:eastAsia="Times New Roman" w:hAnsiTheme="majorBidi" w:cstheme="majorBidi"/>
          <w:kern w:val="0"/>
          <w14:ligatures w14:val="none"/>
        </w:rPr>
      </w:pPr>
    </w:p>
    <w:p w14:paraId="1AF77615" w14:textId="77777777"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Reduced waste in prevention spending</w:t>
      </w:r>
    </w:p>
    <w:p w14:paraId="2279BFE0" w14:textId="77777777" w:rsidR="00126685" w:rsidRPr="00126685" w:rsidRDefault="00126685" w:rsidP="00126685">
      <w:pPr>
        <w:spacing w:after="0" w:line="240" w:lineRule="auto"/>
        <w:outlineLvl w:val="2"/>
        <w:rPr>
          <w:rFonts w:asciiTheme="majorBidi" w:eastAsia="Times New Roman" w:hAnsiTheme="majorBidi" w:cstheme="majorBidi"/>
          <w:kern w:val="0"/>
          <w14:ligatures w14:val="none"/>
        </w:rPr>
      </w:pPr>
    </w:p>
    <w:p w14:paraId="33C2A95A" w14:textId="77777777"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Higher return on public health investment</w:t>
      </w:r>
    </w:p>
    <w:p w14:paraId="4DE7A548" w14:textId="77777777" w:rsidR="00126685" w:rsidRPr="00126685" w:rsidRDefault="00126685" w:rsidP="00126685">
      <w:pPr>
        <w:spacing w:after="0" w:line="240" w:lineRule="auto"/>
        <w:outlineLvl w:val="2"/>
        <w:rPr>
          <w:rFonts w:asciiTheme="majorBidi" w:eastAsia="Times New Roman" w:hAnsiTheme="majorBidi" w:cstheme="majorBidi"/>
          <w:kern w:val="0"/>
          <w14:ligatures w14:val="none"/>
        </w:rPr>
      </w:pPr>
    </w:p>
    <w:p w14:paraId="4ABC8EDA" w14:textId="77777777"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Policy fairness across income groups</w:t>
      </w:r>
    </w:p>
    <w:p w14:paraId="3EC116EA" w14:textId="77777777" w:rsidR="00126685" w:rsidRPr="00126685" w:rsidRDefault="00126685" w:rsidP="00126685">
      <w:pPr>
        <w:spacing w:after="0" w:line="240" w:lineRule="auto"/>
        <w:outlineLvl w:val="2"/>
        <w:rPr>
          <w:rFonts w:asciiTheme="majorBidi" w:eastAsia="Times New Roman" w:hAnsiTheme="majorBidi" w:cstheme="majorBidi"/>
          <w:kern w:val="0"/>
          <w14:ligatures w14:val="none"/>
        </w:rPr>
      </w:pPr>
    </w:p>
    <w:p w14:paraId="431B55DC" w14:textId="4ABCE409"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Improved community health outcomes</w:t>
      </w:r>
    </w:p>
    <w:p w14:paraId="710AD681"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Risks</w:t>
      </w:r>
    </w:p>
    <w:p w14:paraId="47D3FC70" w14:textId="77777777" w:rsidR="00626557" w:rsidRPr="00626557" w:rsidRDefault="00626557" w:rsidP="00626557">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resistance if high-consumption counties feel singled out</w:t>
      </w:r>
    </w:p>
    <w:p w14:paraId="2A882BFB" w14:textId="77777777" w:rsidR="00626557" w:rsidRDefault="00626557" w:rsidP="00626557">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Short-term revenue volatility in affected counties</w:t>
      </w:r>
    </w:p>
    <w:p w14:paraId="267AD90C" w14:textId="2DEDA040" w:rsidR="00126685" w:rsidRPr="00626557" w:rsidRDefault="00126685" w:rsidP="00626557">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Community stigma</w:t>
      </w:r>
    </w:p>
    <w:p w14:paraId="450C071D"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lastRenderedPageBreak/>
        <w:t>These risks can be mitigated through:</w:t>
      </w:r>
    </w:p>
    <w:p w14:paraId="7979AF96"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Transparent data communication</w:t>
      </w:r>
    </w:p>
    <w:p w14:paraId="4C51F558"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Gradual implementation</w:t>
      </w:r>
    </w:p>
    <w:p w14:paraId="7F3E0183"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Community-based education programs</w:t>
      </w:r>
    </w:p>
    <w:p w14:paraId="5415EF19" w14:textId="77777777" w:rsidR="00126685" w:rsidRPr="00126685" w:rsidRDefault="00126685" w:rsidP="001266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685">
        <w:rPr>
          <w:rFonts w:ascii="Times New Roman" w:eastAsia="Times New Roman" w:hAnsi="Times New Roman" w:cs="Times New Roman"/>
          <w:b/>
          <w:bCs/>
          <w:kern w:val="0"/>
          <w:sz w:val="36"/>
          <w:szCs w:val="36"/>
          <w14:ligatures w14:val="none"/>
        </w:rPr>
        <w:t>Final Executive Policy Conclusion</w:t>
      </w:r>
    </w:p>
    <w:p w14:paraId="688273F0"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Income is not a meaningful driver of liquor consumption behavior in Iowa.</w:t>
      </w:r>
      <w:r w:rsidRPr="00126685">
        <w:rPr>
          <w:rFonts w:ascii="Times New Roman" w:eastAsia="Times New Roman" w:hAnsi="Times New Roman" w:cs="Times New Roman"/>
          <w:kern w:val="0"/>
          <w14:ligatures w14:val="none"/>
        </w:rPr>
        <w:br/>
        <w:t>Alcohol policy should therefore be structured around observed per-capita consumption intensity—not income, and not total revenue.</w:t>
      </w:r>
    </w:p>
    <w:p w14:paraId="6FA6A091"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Uniform taxation combined with geographically targeted public health intervention in high-consumption counties represents the most efficient, equitable, and economically sound alcohol policy strategy for the State of Iowa.</w:t>
      </w:r>
    </w:p>
    <w:p w14:paraId="7B6B5C6B" w14:textId="77777777" w:rsidR="007C5B4A" w:rsidRDefault="007C5B4A">
      <w:pPr>
        <w:rPr>
          <w:rFonts w:asciiTheme="majorBidi" w:hAnsiTheme="majorBidi" w:cstheme="majorBidi"/>
        </w:rPr>
      </w:pPr>
    </w:p>
    <w:p w14:paraId="1023C2EE" w14:textId="77777777" w:rsidR="007C5B4A" w:rsidRDefault="007C5B4A">
      <w:pPr>
        <w:rPr>
          <w:rFonts w:asciiTheme="majorBidi" w:hAnsiTheme="majorBidi" w:cstheme="majorBidi"/>
        </w:rPr>
      </w:pPr>
    </w:p>
    <w:p w14:paraId="7CC6625C" w14:textId="77777777" w:rsidR="007C5B4A" w:rsidRDefault="007C5B4A">
      <w:pPr>
        <w:rPr>
          <w:rFonts w:asciiTheme="majorBidi" w:hAnsiTheme="majorBidi" w:cstheme="majorBidi"/>
        </w:rPr>
      </w:pPr>
    </w:p>
    <w:p w14:paraId="7AC717CD" w14:textId="77777777" w:rsidR="007C5B4A" w:rsidRDefault="007C5B4A">
      <w:pPr>
        <w:rPr>
          <w:rFonts w:asciiTheme="majorBidi" w:hAnsiTheme="majorBidi" w:cstheme="majorBidi"/>
        </w:rPr>
      </w:pPr>
    </w:p>
    <w:p w14:paraId="01D2CF1D" w14:textId="77777777" w:rsidR="007C5B4A" w:rsidRDefault="007C5B4A">
      <w:pPr>
        <w:rPr>
          <w:rFonts w:asciiTheme="majorBidi" w:hAnsiTheme="majorBidi" w:cstheme="majorBidi"/>
        </w:rPr>
      </w:pPr>
    </w:p>
    <w:p w14:paraId="7B7ABAF5" w14:textId="77777777" w:rsidR="007C5B4A" w:rsidRDefault="007C5B4A">
      <w:pPr>
        <w:rPr>
          <w:rFonts w:asciiTheme="majorBidi" w:hAnsiTheme="majorBidi" w:cstheme="majorBidi"/>
        </w:rPr>
      </w:pPr>
    </w:p>
    <w:p w14:paraId="31B74B1B" w14:textId="77777777" w:rsidR="007C5B4A" w:rsidRDefault="007C5B4A">
      <w:pPr>
        <w:rPr>
          <w:rFonts w:asciiTheme="majorBidi" w:hAnsiTheme="majorBidi" w:cstheme="majorBidi"/>
        </w:rPr>
      </w:pPr>
    </w:p>
    <w:p w14:paraId="411CF6A9" w14:textId="77777777" w:rsidR="007C5B4A" w:rsidRDefault="007C5B4A">
      <w:pPr>
        <w:rPr>
          <w:rFonts w:asciiTheme="majorBidi" w:hAnsiTheme="majorBidi" w:cstheme="majorBidi"/>
        </w:rPr>
      </w:pPr>
    </w:p>
    <w:p w14:paraId="497668F5" w14:textId="77777777" w:rsidR="00126685" w:rsidRDefault="00126685">
      <w:pPr>
        <w:rPr>
          <w:rFonts w:asciiTheme="majorBidi" w:hAnsiTheme="majorBidi" w:cstheme="majorBidi"/>
        </w:rPr>
      </w:pPr>
    </w:p>
    <w:p w14:paraId="079BF02A" w14:textId="77777777" w:rsidR="00126685" w:rsidRDefault="00126685">
      <w:pPr>
        <w:rPr>
          <w:rFonts w:asciiTheme="majorBidi" w:hAnsiTheme="majorBidi" w:cstheme="majorBidi"/>
        </w:rPr>
      </w:pPr>
    </w:p>
    <w:p w14:paraId="6A5D4B3F" w14:textId="77777777" w:rsidR="00126685" w:rsidRDefault="00126685">
      <w:pPr>
        <w:rPr>
          <w:rFonts w:asciiTheme="majorBidi" w:hAnsiTheme="majorBidi" w:cstheme="majorBidi"/>
        </w:rPr>
      </w:pPr>
    </w:p>
    <w:p w14:paraId="1BB9A0C7" w14:textId="77777777" w:rsidR="00126685" w:rsidRDefault="00126685">
      <w:pPr>
        <w:rPr>
          <w:rFonts w:asciiTheme="majorBidi" w:hAnsiTheme="majorBidi" w:cstheme="majorBidi"/>
        </w:rPr>
      </w:pPr>
    </w:p>
    <w:p w14:paraId="7A1F3DE4" w14:textId="77777777" w:rsidR="00126685" w:rsidRDefault="00126685">
      <w:pPr>
        <w:rPr>
          <w:rFonts w:asciiTheme="majorBidi" w:hAnsiTheme="majorBidi" w:cstheme="majorBidi"/>
        </w:rPr>
      </w:pPr>
    </w:p>
    <w:p w14:paraId="6DA770BE" w14:textId="77777777" w:rsidR="00126685" w:rsidRDefault="00126685">
      <w:pPr>
        <w:rPr>
          <w:rFonts w:asciiTheme="majorBidi" w:hAnsiTheme="majorBidi" w:cstheme="majorBidi"/>
        </w:rPr>
      </w:pPr>
    </w:p>
    <w:p w14:paraId="64386ACA" w14:textId="77777777" w:rsidR="00126685" w:rsidRDefault="00126685">
      <w:pPr>
        <w:rPr>
          <w:rFonts w:asciiTheme="majorBidi" w:hAnsiTheme="majorBidi" w:cstheme="majorBidi"/>
        </w:rPr>
      </w:pPr>
    </w:p>
    <w:p w14:paraId="4D7972C8" w14:textId="77777777" w:rsidR="00126685" w:rsidRDefault="00126685">
      <w:pPr>
        <w:rPr>
          <w:rFonts w:asciiTheme="majorBidi" w:hAnsiTheme="majorBidi" w:cstheme="majorBidi"/>
        </w:rPr>
      </w:pPr>
    </w:p>
    <w:p w14:paraId="2D1A38B0" w14:textId="77777777" w:rsidR="007C5B4A" w:rsidRDefault="007C5B4A">
      <w:pPr>
        <w:rPr>
          <w:rFonts w:asciiTheme="majorBidi" w:hAnsiTheme="majorBidi" w:cstheme="majorBidi"/>
        </w:rPr>
      </w:pPr>
    </w:p>
    <w:p w14:paraId="65AEF6A8" w14:textId="77777777" w:rsidR="007C5B4A" w:rsidRPr="007C5B4A" w:rsidRDefault="007C5B4A" w:rsidP="007C5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C5B4A">
        <w:rPr>
          <w:rFonts w:ascii="Times New Roman" w:eastAsia="Times New Roman" w:hAnsi="Times New Roman" w:cs="Times New Roman"/>
          <w:b/>
          <w:bCs/>
          <w:kern w:val="36"/>
          <w:sz w:val="48"/>
          <w:szCs w:val="48"/>
          <w14:ligatures w14:val="none"/>
        </w:rPr>
        <w:lastRenderedPageBreak/>
        <w:t>APPENDIX A – FIGURES</w:t>
      </w:r>
    </w:p>
    <w:p w14:paraId="04396C24"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This appendix contains the six figures explicitly referenced in the main report. These figures provide full empirical support for the statistical findings, visualization insights, and policy conclusions presented in Section 3.</w:t>
      </w:r>
    </w:p>
    <w:p w14:paraId="29F66424" w14:textId="144F4ED4" w:rsidR="007C5B4A" w:rsidRPr="007C5B4A" w:rsidRDefault="007C5B4A" w:rsidP="007C5B4A">
      <w:pPr>
        <w:spacing w:after="0" w:line="240" w:lineRule="auto"/>
        <w:rPr>
          <w:rFonts w:ascii="Times New Roman" w:eastAsia="Times New Roman" w:hAnsi="Times New Roman" w:cs="Times New Roman"/>
          <w:kern w:val="0"/>
          <w14:ligatures w14:val="none"/>
        </w:rPr>
      </w:pPr>
    </w:p>
    <w:p w14:paraId="6C6C825B" w14:textId="77777777"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1. Median Household Income vs. Liquor Spending Per Capita (Tableau Scatter Plot)</w:t>
      </w:r>
    </w:p>
    <w:p w14:paraId="19D1CFA0"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This scatter plot displays the relationship between county-level median household income and liquor spending per capita. Each point represents a county. The regression line slopes slightly downward and the points are widely dispersed.</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The relationship is extremely weak and slightly negative (</w:t>
      </w:r>
      <w:r w:rsidRPr="007C5B4A">
        <w:rPr>
          <w:rFonts w:ascii="Times New Roman" w:eastAsia="Times New Roman" w:hAnsi="Times New Roman" w:cs="Times New Roman"/>
          <w:b/>
          <w:bCs/>
          <w:kern w:val="0"/>
          <w14:ligatures w14:val="none"/>
        </w:rPr>
        <w:t>r ≈ −0.106</w:t>
      </w:r>
      <w:r w:rsidRPr="007C5B4A">
        <w:rPr>
          <w:rFonts w:ascii="Times New Roman" w:eastAsia="Times New Roman" w:hAnsi="Times New Roman" w:cs="Times New Roman"/>
          <w:kern w:val="0"/>
          <w14:ligatures w14:val="none"/>
        </w:rPr>
        <w:t xml:space="preserve">), confirming that higher-income counties do </w:t>
      </w:r>
      <w:r w:rsidRPr="007C5B4A">
        <w:rPr>
          <w:rFonts w:ascii="Times New Roman" w:eastAsia="Times New Roman" w:hAnsi="Times New Roman" w:cs="Times New Roman"/>
          <w:b/>
          <w:bCs/>
          <w:kern w:val="0"/>
          <w14:ligatures w14:val="none"/>
        </w:rPr>
        <w:t>not</w:t>
      </w:r>
      <w:r w:rsidRPr="007C5B4A">
        <w:rPr>
          <w:rFonts w:ascii="Times New Roman" w:eastAsia="Times New Roman" w:hAnsi="Times New Roman" w:cs="Times New Roman"/>
          <w:kern w:val="0"/>
          <w14:ligatures w14:val="none"/>
        </w:rPr>
        <w:t xml:space="preserve"> consume more liquor per person.</w:t>
      </w:r>
    </w:p>
    <w:p w14:paraId="2116FCA0" w14:textId="418FC80C" w:rsidR="007C5B4A" w:rsidRPr="007C5B4A" w:rsidRDefault="007C5B4A" w:rsidP="007C5B4A">
      <w:pPr>
        <w:spacing w:after="0" w:line="240" w:lineRule="auto"/>
        <w:rPr>
          <w:rFonts w:ascii="Times New Roman" w:eastAsia="Times New Roman" w:hAnsi="Times New Roman" w:cs="Times New Roman"/>
          <w:kern w:val="0"/>
          <w14:ligatures w14:val="none"/>
        </w:rPr>
      </w:pPr>
    </w:p>
    <w:p w14:paraId="09E65541" w14:textId="77777777"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2. Income vs. Total Liquor Sales (SQL Output Visualization)</w:t>
      </w:r>
    </w:p>
    <w:p w14:paraId="64614AE5"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This scatter plot shows median household income plotted against total county-level liquor sales. A strong upward slope appears visually.</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 xml:space="preserve">This apparent positive relationship is entirely driven by </w:t>
      </w:r>
      <w:r w:rsidRPr="007C5B4A">
        <w:rPr>
          <w:rFonts w:ascii="Times New Roman" w:eastAsia="Times New Roman" w:hAnsi="Times New Roman" w:cs="Times New Roman"/>
          <w:b/>
          <w:bCs/>
          <w:kern w:val="0"/>
          <w14:ligatures w14:val="none"/>
        </w:rPr>
        <w:t>population size and commercial density</w:t>
      </w:r>
      <w:r w:rsidRPr="007C5B4A">
        <w:rPr>
          <w:rFonts w:ascii="Times New Roman" w:eastAsia="Times New Roman" w:hAnsi="Times New Roman" w:cs="Times New Roman"/>
          <w:kern w:val="0"/>
          <w14:ligatures w14:val="none"/>
        </w:rPr>
        <w:t>, not by individual consumption behavior. Once sales are normalized per capita, this relationship disappears.</w:t>
      </w:r>
    </w:p>
    <w:p w14:paraId="03831A72" w14:textId="43FA5491" w:rsidR="007C5B4A" w:rsidRPr="007C5B4A" w:rsidRDefault="007C5B4A" w:rsidP="007C5B4A">
      <w:pPr>
        <w:spacing w:after="0" w:line="240" w:lineRule="auto"/>
        <w:rPr>
          <w:rFonts w:ascii="Times New Roman" w:eastAsia="Times New Roman" w:hAnsi="Times New Roman" w:cs="Times New Roman"/>
          <w:kern w:val="0"/>
          <w14:ligatures w14:val="none"/>
        </w:rPr>
      </w:pPr>
    </w:p>
    <w:p w14:paraId="579A466D" w14:textId="25464738"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3. Distribution of Liquor Spending Per Capita (Histogram &amp; Boxplot</w:t>
      </w:r>
      <w:r w:rsidR="007462CA">
        <w:rPr>
          <w:rFonts w:ascii="Times New Roman" w:eastAsia="Times New Roman" w:hAnsi="Times New Roman" w:cs="Times New Roman"/>
          <w:b/>
          <w:bCs/>
          <w:kern w:val="0"/>
          <w:sz w:val="27"/>
          <w:szCs w:val="27"/>
          <w14:ligatures w14:val="none"/>
        </w:rPr>
        <w:t xml:space="preserve"> – Python</w:t>
      </w:r>
      <w:r w:rsidRPr="007C5B4A">
        <w:rPr>
          <w:rFonts w:ascii="Times New Roman" w:eastAsia="Times New Roman" w:hAnsi="Times New Roman" w:cs="Times New Roman"/>
          <w:b/>
          <w:bCs/>
          <w:kern w:val="0"/>
          <w:sz w:val="27"/>
          <w:szCs w:val="27"/>
          <w14:ligatures w14:val="none"/>
        </w:rPr>
        <w:t>)</w:t>
      </w:r>
    </w:p>
    <w:p w14:paraId="548CBA95"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 xml:space="preserve">This figure combines a histogram and a boxplot of liquor dollars per capita across all 99 counties. The distribution is right-skewed, with most counties clustered between approximately </w:t>
      </w:r>
      <w:r w:rsidRPr="007C5B4A">
        <w:rPr>
          <w:rFonts w:ascii="Times New Roman" w:eastAsia="Times New Roman" w:hAnsi="Times New Roman" w:cs="Times New Roman"/>
          <w:b/>
          <w:bCs/>
          <w:kern w:val="0"/>
          <w14:ligatures w14:val="none"/>
        </w:rPr>
        <w:t>$30 and $80 per resident</w:t>
      </w:r>
      <w:r w:rsidRPr="007C5B4A">
        <w:rPr>
          <w:rFonts w:ascii="Times New Roman" w:eastAsia="Times New Roman" w:hAnsi="Times New Roman" w:cs="Times New Roman"/>
          <w:kern w:val="0"/>
          <w14:ligatures w14:val="none"/>
        </w:rPr>
        <w:t xml:space="preserve">, and a small number of extreme outliers exceeding </w:t>
      </w:r>
      <w:r w:rsidRPr="007C5B4A">
        <w:rPr>
          <w:rFonts w:ascii="Times New Roman" w:eastAsia="Times New Roman" w:hAnsi="Times New Roman" w:cs="Times New Roman"/>
          <w:b/>
          <w:bCs/>
          <w:kern w:val="0"/>
          <w14:ligatures w14:val="none"/>
        </w:rPr>
        <w:t>$150–$220 per capita</w:t>
      </w:r>
      <w:r w:rsidRPr="007C5B4A">
        <w:rPr>
          <w:rFonts w:ascii="Times New Roman" w:eastAsia="Times New Roman" w:hAnsi="Times New Roman" w:cs="Times New Roman"/>
          <w:kern w:val="0"/>
          <w14:ligatures w14:val="none"/>
        </w:rPr>
        <w:t>.</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Most Iowa counties exhibit moderate consumption levels, while a few high-consumption counties drive the upper tail of the distribution. These counties represent the most relevant targets for policy intervention.</w:t>
      </w:r>
    </w:p>
    <w:p w14:paraId="35DED10D" w14:textId="758B2134" w:rsidR="007C5B4A" w:rsidRPr="007C5B4A" w:rsidRDefault="007C5B4A" w:rsidP="007C5B4A">
      <w:pPr>
        <w:spacing w:after="0" w:line="240" w:lineRule="auto"/>
        <w:rPr>
          <w:rFonts w:ascii="Times New Roman" w:eastAsia="Times New Roman" w:hAnsi="Times New Roman" w:cs="Times New Roman"/>
          <w:kern w:val="0"/>
          <w14:ligatures w14:val="none"/>
        </w:rPr>
      </w:pPr>
    </w:p>
    <w:p w14:paraId="4006C148" w14:textId="77777777"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4. Correlation Matrix (Python Output)</w:t>
      </w:r>
    </w:p>
    <w:p w14:paraId="5E31ADAA"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This heatmap presents Pearson correlation coefficients among:</w:t>
      </w:r>
    </w:p>
    <w:p w14:paraId="32E029AD" w14:textId="77777777" w:rsidR="007C5B4A" w:rsidRPr="007C5B4A" w:rsidRDefault="007C5B4A" w:rsidP="007C5B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Median household income</w:t>
      </w:r>
    </w:p>
    <w:p w14:paraId="5CABA04C" w14:textId="77777777" w:rsidR="007C5B4A" w:rsidRPr="007C5B4A" w:rsidRDefault="007C5B4A" w:rsidP="007C5B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Population</w:t>
      </w:r>
    </w:p>
    <w:p w14:paraId="3F316444" w14:textId="77777777" w:rsidR="007C5B4A" w:rsidRPr="007C5B4A" w:rsidRDefault="007C5B4A" w:rsidP="007C5B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Total liquor sales</w:t>
      </w:r>
    </w:p>
    <w:p w14:paraId="64E06AAE" w14:textId="77777777" w:rsidR="007C5B4A" w:rsidRPr="007C5B4A" w:rsidRDefault="007C5B4A" w:rsidP="007C5B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Liquor dollars per capita</w:t>
      </w:r>
    </w:p>
    <w:p w14:paraId="10697738"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Key Results:</w:t>
      </w:r>
    </w:p>
    <w:p w14:paraId="390F694C" w14:textId="77777777" w:rsidR="007C5B4A" w:rsidRPr="007C5B4A" w:rsidRDefault="007C5B4A" w:rsidP="007C5B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 xml:space="preserve">Income vs. Per Capita: </w:t>
      </w:r>
      <w:r w:rsidRPr="007C5B4A">
        <w:rPr>
          <w:rFonts w:ascii="Times New Roman" w:eastAsia="Times New Roman" w:hAnsi="Times New Roman" w:cs="Times New Roman"/>
          <w:b/>
          <w:bCs/>
          <w:kern w:val="0"/>
          <w14:ligatures w14:val="none"/>
        </w:rPr>
        <w:t>r ≈ −0.11</w:t>
      </w:r>
    </w:p>
    <w:p w14:paraId="1F476D2A" w14:textId="77777777" w:rsidR="007C5B4A" w:rsidRPr="007C5B4A" w:rsidRDefault="007C5B4A" w:rsidP="007C5B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 xml:space="preserve">Population vs. Total Sales: </w:t>
      </w:r>
      <w:r w:rsidRPr="007C5B4A">
        <w:rPr>
          <w:rFonts w:ascii="Times New Roman" w:eastAsia="Times New Roman" w:hAnsi="Times New Roman" w:cs="Times New Roman"/>
          <w:b/>
          <w:bCs/>
          <w:kern w:val="0"/>
          <w14:ligatures w14:val="none"/>
        </w:rPr>
        <w:t>r ≈ 0.99</w:t>
      </w:r>
    </w:p>
    <w:p w14:paraId="1233B4F5" w14:textId="77777777" w:rsidR="007C5B4A" w:rsidRPr="007C5B4A" w:rsidRDefault="007C5B4A" w:rsidP="007C5B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 xml:space="preserve">Population vs. Per Capita: </w:t>
      </w:r>
      <w:r w:rsidRPr="007C5B4A">
        <w:rPr>
          <w:rFonts w:ascii="Times New Roman" w:eastAsia="Times New Roman" w:hAnsi="Times New Roman" w:cs="Times New Roman"/>
          <w:b/>
          <w:bCs/>
          <w:kern w:val="0"/>
          <w14:ligatures w14:val="none"/>
        </w:rPr>
        <w:t>r ≈ 0.47</w:t>
      </w:r>
    </w:p>
    <w:p w14:paraId="64B1E688"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 xml:space="preserve">This confirms that </w:t>
      </w:r>
      <w:r w:rsidRPr="007C5B4A">
        <w:rPr>
          <w:rFonts w:ascii="Times New Roman" w:eastAsia="Times New Roman" w:hAnsi="Times New Roman" w:cs="Times New Roman"/>
          <w:b/>
          <w:bCs/>
          <w:kern w:val="0"/>
          <w14:ligatures w14:val="none"/>
        </w:rPr>
        <w:t>total sales are population-driven</w:t>
      </w:r>
      <w:r w:rsidRPr="007C5B4A">
        <w:rPr>
          <w:rFonts w:ascii="Times New Roman" w:eastAsia="Times New Roman" w:hAnsi="Times New Roman" w:cs="Times New Roman"/>
          <w:kern w:val="0"/>
          <w14:ligatures w14:val="none"/>
        </w:rPr>
        <w:t xml:space="preserve">, while </w:t>
      </w:r>
      <w:r w:rsidRPr="007C5B4A">
        <w:rPr>
          <w:rFonts w:ascii="Times New Roman" w:eastAsia="Times New Roman" w:hAnsi="Times New Roman" w:cs="Times New Roman"/>
          <w:b/>
          <w:bCs/>
          <w:kern w:val="0"/>
          <w14:ligatures w14:val="none"/>
        </w:rPr>
        <w:t>per-capita consumption is largely independent of income</w:t>
      </w:r>
      <w:r w:rsidRPr="007C5B4A">
        <w:rPr>
          <w:rFonts w:ascii="Times New Roman" w:eastAsia="Times New Roman" w:hAnsi="Times New Roman" w:cs="Times New Roman"/>
          <w:kern w:val="0"/>
          <w14:ligatures w14:val="none"/>
        </w:rPr>
        <w:t>.</w:t>
      </w:r>
    </w:p>
    <w:p w14:paraId="17E5CCD8" w14:textId="7585C29F" w:rsidR="007C5B4A" w:rsidRPr="007C5B4A" w:rsidRDefault="007C5B4A" w:rsidP="007C5B4A">
      <w:pPr>
        <w:spacing w:after="0" w:line="240" w:lineRule="auto"/>
        <w:rPr>
          <w:rFonts w:ascii="Times New Roman" w:eastAsia="Times New Roman" w:hAnsi="Times New Roman" w:cs="Times New Roman"/>
          <w:kern w:val="0"/>
          <w14:ligatures w14:val="none"/>
        </w:rPr>
      </w:pPr>
    </w:p>
    <w:p w14:paraId="65F04159" w14:textId="0B7BF91C"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5. Total Liquor Sales by County (</w:t>
      </w:r>
      <w:r w:rsidR="007462CA" w:rsidRPr="007462CA">
        <w:rPr>
          <w:rFonts w:ascii="Times New Roman" w:eastAsia="Times New Roman" w:hAnsi="Times New Roman" w:cs="Times New Roman"/>
          <w:b/>
          <w:bCs/>
          <w:kern w:val="0"/>
          <w:sz w:val="27"/>
          <w:szCs w:val="27"/>
          <w14:ligatures w14:val="none"/>
        </w:rPr>
        <w:t>All Counties – Tableau Bar Chart</w:t>
      </w:r>
      <w:r w:rsidRPr="007C5B4A">
        <w:rPr>
          <w:rFonts w:ascii="Times New Roman" w:eastAsia="Times New Roman" w:hAnsi="Times New Roman" w:cs="Times New Roman"/>
          <w:b/>
          <w:bCs/>
          <w:kern w:val="0"/>
          <w:sz w:val="27"/>
          <w:szCs w:val="27"/>
          <w14:ligatures w14:val="none"/>
        </w:rPr>
        <w:t>)</w:t>
      </w:r>
    </w:p>
    <w:p w14:paraId="4D07ED17"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 xml:space="preserve">This ranked bar chart displays total liquor revenue across all Iowa counties. </w:t>
      </w:r>
      <w:r w:rsidRPr="007C5B4A">
        <w:rPr>
          <w:rFonts w:ascii="Times New Roman" w:eastAsia="Times New Roman" w:hAnsi="Times New Roman" w:cs="Times New Roman"/>
          <w:b/>
          <w:bCs/>
          <w:kern w:val="0"/>
          <w14:ligatures w14:val="none"/>
        </w:rPr>
        <w:t>Polk, Linn, Johnson, and Scott counties</w:t>
      </w:r>
      <w:r w:rsidRPr="007C5B4A">
        <w:rPr>
          <w:rFonts w:ascii="Times New Roman" w:eastAsia="Times New Roman" w:hAnsi="Times New Roman" w:cs="Times New Roman"/>
          <w:kern w:val="0"/>
          <w14:ligatures w14:val="none"/>
        </w:rPr>
        <w:t xml:space="preserve"> dominate statewide liquor revenue, each generating tens of millions of dollars annually. Many rural counties generate less than </w:t>
      </w:r>
      <w:r w:rsidRPr="007C5B4A">
        <w:rPr>
          <w:rFonts w:ascii="Times New Roman" w:eastAsia="Times New Roman" w:hAnsi="Times New Roman" w:cs="Times New Roman"/>
          <w:b/>
          <w:bCs/>
          <w:kern w:val="0"/>
          <w14:ligatures w14:val="none"/>
        </w:rPr>
        <w:t>$2 million</w:t>
      </w:r>
      <w:r w:rsidRPr="007C5B4A">
        <w:rPr>
          <w:rFonts w:ascii="Times New Roman" w:eastAsia="Times New Roman" w:hAnsi="Times New Roman" w:cs="Times New Roman"/>
          <w:kern w:val="0"/>
          <w14:ligatures w14:val="none"/>
        </w:rPr>
        <w:t>.</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 xml:space="preserve">Liquor revenue is </w:t>
      </w:r>
      <w:r w:rsidRPr="007C5B4A">
        <w:rPr>
          <w:rFonts w:ascii="Times New Roman" w:eastAsia="Times New Roman" w:hAnsi="Times New Roman" w:cs="Times New Roman"/>
          <w:b/>
          <w:bCs/>
          <w:kern w:val="0"/>
          <w14:ligatures w14:val="none"/>
        </w:rPr>
        <w:t>highly concentrated in a small number of urban counties</w:t>
      </w:r>
      <w:r w:rsidRPr="007C5B4A">
        <w:rPr>
          <w:rFonts w:ascii="Times New Roman" w:eastAsia="Times New Roman" w:hAnsi="Times New Roman" w:cs="Times New Roman"/>
          <w:kern w:val="0"/>
          <w14:ligatures w14:val="none"/>
        </w:rPr>
        <w:t>, reinforcing that total sales reflect market size rather than individual consumption behavior.</w:t>
      </w:r>
    </w:p>
    <w:p w14:paraId="441F6B90" w14:textId="27883BFC" w:rsidR="007C5B4A" w:rsidRPr="007C5B4A" w:rsidRDefault="007C5B4A" w:rsidP="007C5B4A">
      <w:pPr>
        <w:spacing w:after="0" w:line="240" w:lineRule="auto"/>
        <w:rPr>
          <w:rFonts w:ascii="Times New Roman" w:eastAsia="Times New Roman" w:hAnsi="Times New Roman" w:cs="Times New Roman"/>
          <w:kern w:val="0"/>
          <w14:ligatures w14:val="none"/>
        </w:rPr>
      </w:pPr>
    </w:p>
    <w:p w14:paraId="046E55D9" w14:textId="4DE1A95B"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6. Liquor Dollars Per Capita by County (</w:t>
      </w:r>
      <w:r w:rsidR="007462CA" w:rsidRPr="007462CA">
        <w:rPr>
          <w:rFonts w:ascii="Times New Roman" w:eastAsia="Times New Roman" w:hAnsi="Times New Roman" w:cs="Times New Roman"/>
          <w:b/>
          <w:bCs/>
          <w:kern w:val="0"/>
          <w:sz w:val="27"/>
          <w:szCs w:val="27"/>
          <w14:ligatures w14:val="none"/>
        </w:rPr>
        <w:t>Top 10 – Tableau Bar Chart</w:t>
      </w:r>
      <w:r w:rsidRPr="007C5B4A">
        <w:rPr>
          <w:rFonts w:ascii="Times New Roman" w:eastAsia="Times New Roman" w:hAnsi="Times New Roman" w:cs="Times New Roman"/>
          <w:b/>
          <w:bCs/>
          <w:kern w:val="0"/>
          <w:sz w:val="27"/>
          <w:szCs w:val="27"/>
          <w14:ligatures w14:val="none"/>
        </w:rPr>
        <w:t>)</w:t>
      </w:r>
    </w:p>
    <w:p w14:paraId="06C3B74A" w14:textId="3CFC9518"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 xml:space="preserve">This bar chart ranks the </w:t>
      </w:r>
      <w:r w:rsidRPr="007C5B4A">
        <w:rPr>
          <w:rFonts w:ascii="Times New Roman" w:eastAsia="Times New Roman" w:hAnsi="Times New Roman" w:cs="Times New Roman"/>
          <w:b/>
          <w:bCs/>
          <w:kern w:val="0"/>
          <w14:ligatures w14:val="none"/>
        </w:rPr>
        <w:t>top 10 counties by per-capita liquor spending</w:t>
      </w:r>
      <w:r w:rsidRPr="007C5B4A">
        <w:rPr>
          <w:rFonts w:ascii="Times New Roman" w:eastAsia="Times New Roman" w:hAnsi="Times New Roman" w:cs="Times New Roman"/>
          <w:kern w:val="0"/>
          <w14:ligatures w14:val="none"/>
        </w:rPr>
        <w:t>. Several smaller, less populous counties appear among the highest per-person spenders despite not being revenue leaders.</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 xml:space="preserve">High-risk consumption counties are </w:t>
      </w:r>
      <w:r w:rsidRPr="007C5B4A">
        <w:rPr>
          <w:rFonts w:ascii="Times New Roman" w:eastAsia="Times New Roman" w:hAnsi="Times New Roman" w:cs="Times New Roman"/>
          <w:b/>
          <w:bCs/>
          <w:kern w:val="0"/>
          <w14:ligatures w14:val="none"/>
        </w:rPr>
        <w:t>not the same as total-revenue leaders</w:t>
      </w:r>
      <w:r w:rsidRPr="007C5B4A">
        <w:rPr>
          <w:rFonts w:ascii="Times New Roman" w:eastAsia="Times New Roman" w:hAnsi="Times New Roman" w:cs="Times New Roman"/>
          <w:kern w:val="0"/>
          <w14:ligatures w14:val="none"/>
        </w:rPr>
        <w:t xml:space="preserve">, which directly supports the policy recommendation to target </w:t>
      </w:r>
      <w:r w:rsidRPr="007C5B4A">
        <w:rPr>
          <w:rFonts w:ascii="Times New Roman" w:eastAsia="Times New Roman" w:hAnsi="Times New Roman" w:cs="Times New Roman"/>
          <w:b/>
          <w:bCs/>
          <w:kern w:val="0"/>
          <w14:ligatures w14:val="none"/>
        </w:rPr>
        <w:t>high per-capita consumption counties rather than high-income counties</w:t>
      </w:r>
      <w:r w:rsidRPr="007C5B4A">
        <w:rPr>
          <w:rFonts w:ascii="Times New Roman" w:eastAsia="Times New Roman" w:hAnsi="Times New Roman" w:cs="Times New Roman"/>
          <w:kern w:val="0"/>
          <w14:ligatures w14:val="none"/>
        </w:rPr>
        <w:t>.</w:t>
      </w:r>
    </w:p>
    <w:sectPr w:rsidR="007C5B4A" w:rsidRPr="007C5B4A">
      <w:footerReference w:type="even"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B06F7" w14:textId="77777777" w:rsidR="009C40B5" w:rsidRDefault="009C40B5" w:rsidP="00EB04AE">
      <w:pPr>
        <w:spacing w:after="0" w:line="240" w:lineRule="auto"/>
      </w:pPr>
      <w:r>
        <w:separator/>
      </w:r>
    </w:p>
  </w:endnote>
  <w:endnote w:type="continuationSeparator" w:id="0">
    <w:p w14:paraId="7F5E703F" w14:textId="77777777" w:rsidR="009C40B5" w:rsidRDefault="009C40B5" w:rsidP="00EB0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772979"/>
      <w:docPartObj>
        <w:docPartGallery w:val="Page Numbers (Bottom of Page)"/>
        <w:docPartUnique/>
      </w:docPartObj>
    </w:sdtPr>
    <w:sdtContent>
      <w:p w14:paraId="1E6E0690" w14:textId="2794A590" w:rsidR="00EB04AE" w:rsidRDefault="00EB04AE" w:rsidP="008203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9BCF57" w14:textId="77777777" w:rsidR="00EB04AE" w:rsidRDefault="00EB04AE" w:rsidP="00EB04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8928993"/>
      <w:docPartObj>
        <w:docPartGallery w:val="Page Numbers (Bottom of Page)"/>
        <w:docPartUnique/>
      </w:docPartObj>
    </w:sdtPr>
    <w:sdtContent>
      <w:p w14:paraId="59109F95" w14:textId="07F10285" w:rsidR="00EB04AE" w:rsidRDefault="00EB04AE" w:rsidP="008203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0</w:t>
        </w:r>
        <w:r>
          <w:rPr>
            <w:rStyle w:val="PageNumber"/>
          </w:rPr>
          <w:fldChar w:fldCharType="end"/>
        </w:r>
      </w:p>
    </w:sdtContent>
  </w:sdt>
  <w:p w14:paraId="14BE069E" w14:textId="77777777" w:rsidR="00EB04AE" w:rsidRDefault="00EB04AE" w:rsidP="00EB04A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E3F6F" w14:textId="77777777" w:rsidR="009C40B5" w:rsidRDefault="009C40B5" w:rsidP="00EB04AE">
      <w:pPr>
        <w:spacing w:after="0" w:line="240" w:lineRule="auto"/>
      </w:pPr>
      <w:r>
        <w:separator/>
      </w:r>
    </w:p>
  </w:footnote>
  <w:footnote w:type="continuationSeparator" w:id="0">
    <w:p w14:paraId="37149ED7" w14:textId="77777777" w:rsidR="009C40B5" w:rsidRDefault="009C40B5" w:rsidP="00EB04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BA7"/>
    <w:multiLevelType w:val="multilevel"/>
    <w:tmpl w:val="5C3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45E47"/>
    <w:multiLevelType w:val="multilevel"/>
    <w:tmpl w:val="3508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33367"/>
    <w:multiLevelType w:val="multilevel"/>
    <w:tmpl w:val="46B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B6BBF"/>
    <w:multiLevelType w:val="multilevel"/>
    <w:tmpl w:val="A652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82E38"/>
    <w:multiLevelType w:val="multilevel"/>
    <w:tmpl w:val="B9D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A7C90"/>
    <w:multiLevelType w:val="multilevel"/>
    <w:tmpl w:val="C23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30ADC"/>
    <w:multiLevelType w:val="multilevel"/>
    <w:tmpl w:val="AC6E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A6427"/>
    <w:multiLevelType w:val="multilevel"/>
    <w:tmpl w:val="E70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302BA"/>
    <w:multiLevelType w:val="hybridMultilevel"/>
    <w:tmpl w:val="9952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741063"/>
    <w:multiLevelType w:val="multilevel"/>
    <w:tmpl w:val="CCBA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9285A"/>
    <w:multiLevelType w:val="multilevel"/>
    <w:tmpl w:val="93C8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D7314"/>
    <w:multiLevelType w:val="multilevel"/>
    <w:tmpl w:val="3160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67B35"/>
    <w:multiLevelType w:val="multilevel"/>
    <w:tmpl w:val="F42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6316D"/>
    <w:multiLevelType w:val="multilevel"/>
    <w:tmpl w:val="DD4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273E0"/>
    <w:multiLevelType w:val="multilevel"/>
    <w:tmpl w:val="467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A3632"/>
    <w:multiLevelType w:val="multilevel"/>
    <w:tmpl w:val="922E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2184F"/>
    <w:multiLevelType w:val="multilevel"/>
    <w:tmpl w:val="9CE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96390"/>
    <w:multiLevelType w:val="multilevel"/>
    <w:tmpl w:val="9C26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12185"/>
    <w:multiLevelType w:val="multilevel"/>
    <w:tmpl w:val="22B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E0B09"/>
    <w:multiLevelType w:val="multilevel"/>
    <w:tmpl w:val="FB3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B19B6"/>
    <w:multiLevelType w:val="multilevel"/>
    <w:tmpl w:val="1188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F4465"/>
    <w:multiLevelType w:val="multilevel"/>
    <w:tmpl w:val="1A88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970CE"/>
    <w:multiLevelType w:val="multilevel"/>
    <w:tmpl w:val="AC1A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F5BA6"/>
    <w:multiLevelType w:val="multilevel"/>
    <w:tmpl w:val="8BC0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B1FEC"/>
    <w:multiLevelType w:val="multilevel"/>
    <w:tmpl w:val="C296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833B5"/>
    <w:multiLevelType w:val="multilevel"/>
    <w:tmpl w:val="CC74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C43E87"/>
    <w:multiLevelType w:val="hybridMultilevel"/>
    <w:tmpl w:val="07582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753314"/>
    <w:multiLevelType w:val="multilevel"/>
    <w:tmpl w:val="A3A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913F58"/>
    <w:multiLevelType w:val="multilevel"/>
    <w:tmpl w:val="8C20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E271C"/>
    <w:multiLevelType w:val="multilevel"/>
    <w:tmpl w:val="392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4E5761"/>
    <w:multiLevelType w:val="multilevel"/>
    <w:tmpl w:val="DF3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367B04"/>
    <w:multiLevelType w:val="multilevel"/>
    <w:tmpl w:val="48BE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B3B03"/>
    <w:multiLevelType w:val="multilevel"/>
    <w:tmpl w:val="61AA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C47DC6"/>
    <w:multiLevelType w:val="multilevel"/>
    <w:tmpl w:val="D67A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3407AB"/>
    <w:multiLevelType w:val="multilevel"/>
    <w:tmpl w:val="91F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6062B8"/>
    <w:multiLevelType w:val="multilevel"/>
    <w:tmpl w:val="0C1AB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860703"/>
    <w:multiLevelType w:val="multilevel"/>
    <w:tmpl w:val="485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1367D3"/>
    <w:multiLevelType w:val="multilevel"/>
    <w:tmpl w:val="CDE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705F3"/>
    <w:multiLevelType w:val="multilevel"/>
    <w:tmpl w:val="C898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35A44"/>
    <w:multiLevelType w:val="multilevel"/>
    <w:tmpl w:val="3E0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B40567"/>
    <w:multiLevelType w:val="multilevel"/>
    <w:tmpl w:val="FAD8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F7DA6"/>
    <w:multiLevelType w:val="multilevel"/>
    <w:tmpl w:val="25B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7001C0"/>
    <w:multiLevelType w:val="multilevel"/>
    <w:tmpl w:val="9E2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8523F"/>
    <w:multiLevelType w:val="multilevel"/>
    <w:tmpl w:val="F7B0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D8091C"/>
    <w:multiLevelType w:val="hybridMultilevel"/>
    <w:tmpl w:val="67D84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1D56EC"/>
    <w:multiLevelType w:val="multilevel"/>
    <w:tmpl w:val="DF9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637FD"/>
    <w:multiLevelType w:val="multilevel"/>
    <w:tmpl w:val="570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B961F4"/>
    <w:multiLevelType w:val="multilevel"/>
    <w:tmpl w:val="580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E80C8D"/>
    <w:multiLevelType w:val="multilevel"/>
    <w:tmpl w:val="6B28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877FA"/>
    <w:multiLevelType w:val="multilevel"/>
    <w:tmpl w:val="05B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647988">
    <w:abstractNumId w:val="24"/>
  </w:num>
  <w:num w:numId="2" w16cid:durableId="1252739474">
    <w:abstractNumId w:val="18"/>
  </w:num>
  <w:num w:numId="3" w16cid:durableId="1448507982">
    <w:abstractNumId w:val="20"/>
  </w:num>
  <w:num w:numId="4" w16cid:durableId="1927760591">
    <w:abstractNumId w:val="36"/>
  </w:num>
  <w:num w:numId="5" w16cid:durableId="1586260822">
    <w:abstractNumId w:val="13"/>
  </w:num>
  <w:num w:numId="6" w16cid:durableId="436995491">
    <w:abstractNumId w:val="3"/>
  </w:num>
  <w:num w:numId="7" w16cid:durableId="778597932">
    <w:abstractNumId w:val="38"/>
  </w:num>
  <w:num w:numId="8" w16cid:durableId="586037048">
    <w:abstractNumId w:val="48"/>
  </w:num>
  <w:num w:numId="9" w16cid:durableId="1465544048">
    <w:abstractNumId w:val="41"/>
  </w:num>
  <w:num w:numId="10" w16cid:durableId="1367293111">
    <w:abstractNumId w:val="19"/>
  </w:num>
  <w:num w:numId="11" w16cid:durableId="1709524327">
    <w:abstractNumId w:val="45"/>
  </w:num>
  <w:num w:numId="12" w16cid:durableId="1913082351">
    <w:abstractNumId w:val="27"/>
  </w:num>
  <w:num w:numId="13" w16cid:durableId="1206596669">
    <w:abstractNumId w:val="37"/>
  </w:num>
  <w:num w:numId="14" w16cid:durableId="958102230">
    <w:abstractNumId w:val="32"/>
  </w:num>
  <w:num w:numId="15" w16cid:durableId="2084328646">
    <w:abstractNumId w:val="21"/>
  </w:num>
  <w:num w:numId="16" w16cid:durableId="2124381363">
    <w:abstractNumId w:val="46"/>
  </w:num>
  <w:num w:numId="17" w16cid:durableId="1945266927">
    <w:abstractNumId w:val="15"/>
  </w:num>
  <w:num w:numId="18" w16cid:durableId="609513285">
    <w:abstractNumId w:val="7"/>
  </w:num>
  <w:num w:numId="19" w16cid:durableId="735973520">
    <w:abstractNumId w:val="0"/>
  </w:num>
  <w:num w:numId="20" w16cid:durableId="623467449">
    <w:abstractNumId w:val="4"/>
  </w:num>
  <w:num w:numId="21" w16cid:durableId="392049887">
    <w:abstractNumId w:val="9"/>
  </w:num>
  <w:num w:numId="22" w16cid:durableId="586766027">
    <w:abstractNumId w:val="17"/>
  </w:num>
  <w:num w:numId="23" w16cid:durableId="1598905992">
    <w:abstractNumId w:val="49"/>
  </w:num>
  <w:num w:numId="24" w16cid:durableId="1571647948">
    <w:abstractNumId w:val="44"/>
  </w:num>
  <w:num w:numId="25" w16cid:durableId="220291143">
    <w:abstractNumId w:val="26"/>
  </w:num>
  <w:num w:numId="26" w16cid:durableId="1081218197">
    <w:abstractNumId w:val="29"/>
  </w:num>
  <w:num w:numId="27" w16cid:durableId="589974742">
    <w:abstractNumId w:val="33"/>
  </w:num>
  <w:num w:numId="28" w16cid:durableId="600794313">
    <w:abstractNumId w:val="47"/>
  </w:num>
  <w:num w:numId="29" w16cid:durableId="258223839">
    <w:abstractNumId w:val="5"/>
  </w:num>
  <w:num w:numId="30" w16cid:durableId="1914193318">
    <w:abstractNumId w:val="2"/>
  </w:num>
  <w:num w:numId="31" w16cid:durableId="1215848120">
    <w:abstractNumId w:val="23"/>
  </w:num>
  <w:num w:numId="32" w16cid:durableId="429083266">
    <w:abstractNumId w:val="16"/>
  </w:num>
  <w:num w:numId="33" w16cid:durableId="470488142">
    <w:abstractNumId w:val="12"/>
  </w:num>
  <w:num w:numId="34" w16cid:durableId="1294872530">
    <w:abstractNumId w:val="22"/>
  </w:num>
  <w:num w:numId="35" w16cid:durableId="135144526">
    <w:abstractNumId w:val="25"/>
  </w:num>
  <w:num w:numId="36" w16cid:durableId="1247810947">
    <w:abstractNumId w:val="34"/>
  </w:num>
  <w:num w:numId="37" w16cid:durableId="797456718">
    <w:abstractNumId w:val="39"/>
  </w:num>
  <w:num w:numId="38" w16cid:durableId="213467930">
    <w:abstractNumId w:val="11"/>
  </w:num>
  <w:num w:numId="39" w16cid:durableId="666059340">
    <w:abstractNumId w:val="42"/>
  </w:num>
  <w:num w:numId="40" w16cid:durableId="767044463">
    <w:abstractNumId w:val="10"/>
  </w:num>
  <w:num w:numId="41" w16cid:durableId="2039307503">
    <w:abstractNumId w:val="30"/>
  </w:num>
  <w:num w:numId="42" w16cid:durableId="756828677">
    <w:abstractNumId w:val="1"/>
  </w:num>
  <w:num w:numId="43" w16cid:durableId="1085150326">
    <w:abstractNumId w:val="6"/>
  </w:num>
  <w:num w:numId="44" w16cid:durableId="1657568421">
    <w:abstractNumId w:val="14"/>
  </w:num>
  <w:num w:numId="45" w16cid:durableId="2133399731">
    <w:abstractNumId w:val="40"/>
  </w:num>
  <w:num w:numId="46" w16cid:durableId="471992685">
    <w:abstractNumId w:val="35"/>
  </w:num>
  <w:num w:numId="47" w16cid:durableId="1403723711">
    <w:abstractNumId w:val="31"/>
  </w:num>
  <w:num w:numId="48" w16cid:durableId="365720296">
    <w:abstractNumId w:val="28"/>
  </w:num>
  <w:num w:numId="49" w16cid:durableId="227420544">
    <w:abstractNumId w:val="43"/>
  </w:num>
  <w:num w:numId="50" w16cid:durableId="7123847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57"/>
    <w:rsid w:val="00043CC2"/>
    <w:rsid w:val="000F7CE6"/>
    <w:rsid w:val="00126685"/>
    <w:rsid w:val="001F21E1"/>
    <w:rsid w:val="0035491D"/>
    <w:rsid w:val="00423A6A"/>
    <w:rsid w:val="0043291B"/>
    <w:rsid w:val="004F77FB"/>
    <w:rsid w:val="00626557"/>
    <w:rsid w:val="007462CA"/>
    <w:rsid w:val="007C5B4A"/>
    <w:rsid w:val="009C40B5"/>
    <w:rsid w:val="00BB4B26"/>
    <w:rsid w:val="00D32200"/>
    <w:rsid w:val="00D47216"/>
    <w:rsid w:val="00DB5F13"/>
    <w:rsid w:val="00E9361C"/>
    <w:rsid w:val="00EA3F14"/>
    <w:rsid w:val="00EB04AE"/>
  </w:rsids>
  <m:mathPr>
    <m:mathFont m:val="Cambria Math"/>
    <m:brkBin m:val="before"/>
    <m:brkBinSub m:val="--"/>
    <m:smallFrac m:val="0"/>
    <m:dispDef/>
    <m:lMargin m:val="0"/>
    <m:rMargin m:val="0"/>
    <m:defJc m:val="centerGroup"/>
    <m:wrapIndent m:val="1440"/>
    <m:intLim m:val="subSup"/>
    <m:naryLim m:val="undOvr"/>
  </m:mathPr>
  <w:themeFontLang w:val="en-D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73E3"/>
  <w15:chartTrackingRefBased/>
  <w15:docId w15:val="{F3D66B15-EF39-D249-A223-2CF21550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6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6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6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6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557"/>
    <w:rPr>
      <w:rFonts w:eastAsiaTheme="majorEastAsia" w:cstheme="majorBidi"/>
      <w:color w:val="272727" w:themeColor="text1" w:themeTint="D8"/>
    </w:rPr>
  </w:style>
  <w:style w:type="paragraph" w:styleId="Title">
    <w:name w:val="Title"/>
    <w:basedOn w:val="Normal"/>
    <w:next w:val="Normal"/>
    <w:link w:val="TitleChar"/>
    <w:uiPriority w:val="10"/>
    <w:qFormat/>
    <w:rsid w:val="00626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557"/>
    <w:pPr>
      <w:spacing w:before="160"/>
      <w:jc w:val="center"/>
    </w:pPr>
    <w:rPr>
      <w:i/>
      <w:iCs/>
      <w:color w:val="404040" w:themeColor="text1" w:themeTint="BF"/>
    </w:rPr>
  </w:style>
  <w:style w:type="character" w:customStyle="1" w:styleId="QuoteChar">
    <w:name w:val="Quote Char"/>
    <w:basedOn w:val="DefaultParagraphFont"/>
    <w:link w:val="Quote"/>
    <w:uiPriority w:val="29"/>
    <w:rsid w:val="00626557"/>
    <w:rPr>
      <w:i/>
      <w:iCs/>
      <w:color w:val="404040" w:themeColor="text1" w:themeTint="BF"/>
    </w:rPr>
  </w:style>
  <w:style w:type="paragraph" w:styleId="ListParagraph">
    <w:name w:val="List Paragraph"/>
    <w:basedOn w:val="Normal"/>
    <w:uiPriority w:val="34"/>
    <w:qFormat/>
    <w:rsid w:val="00626557"/>
    <w:pPr>
      <w:ind w:left="720"/>
      <w:contextualSpacing/>
    </w:pPr>
  </w:style>
  <w:style w:type="character" w:styleId="IntenseEmphasis">
    <w:name w:val="Intense Emphasis"/>
    <w:basedOn w:val="DefaultParagraphFont"/>
    <w:uiPriority w:val="21"/>
    <w:qFormat/>
    <w:rsid w:val="00626557"/>
    <w:rPr>
      <w:i/>
      <w:iCs/>
      <w:color w:val="0F4761" w:themeColor="accent1" w:themeShade="BF"/>
    </w:rPr>
  </w:style>
  <w:style w:type="paragraph" w:styleId="IntenseQuote">
    <w:name w:val="Intense Quote"/>
    <w:basedOn w:val="Normal"/>
    <w:next w:val="Normal"/>
    <w:link w:val="IntenseQuoteChar"/>
    <w:uiPriority w:val="30"/>
    <w:qFormat/>
    <w:rsid w:val="00626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557"/>
    <w:rPr>
      <w:i/>
      <w:iCs/>
      <w:color w:val="0F4761" w:themeColor="accent1" w:themeShade="BF"/>
    </w:rPr>
  </w:style>
  <w:style w:type="character" w:styleId="IntenseReference">
    <w:name w:val="Intense Reference"/>
    <w:basedOn w:val="DefaultParagraphFont"/>
    <w:uiPriority w:val="32"/>
    <w:qFormat/>
    <w:rsid w:val="00626557"/>
    <w:rPr>
      <w:b/>
      <w:bCs/>
      <w:smallCaps/>
      <w:color w:val="0F4761" w:themeColor="accent1" w:themeShade="BF"/>
      <w:spacing w:val="5"/>
    </w:rPr>
  </w:style>
  <w:style w:type="character" w:styleId="Strong">
    <w:name w:val="Strong"/>
    <w:basedOn w:val="DefaultParagraphFont"/>
    <w:uiPriority w:val="22"/>
    <w:qFormat/>
    <w:rsid w:val="00626557"/>
    <w:rPr>
      <w:b/>
      <w:bCs/>
    </w:rPr>
  </w:style>
  <w:style w:type="paragraph" w:styleId="NormalWeb">
    <w:name w:val="Normal (Web)"/>
    <w:basedOn w:val="Normal"/>
    <w:uiPriority w:val="99"/>
    <w:unhideWhenUsed/>
    <w:rsid w:val="006265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26557"/>
    <w:rPr>
      <w:i/>
      <w:iCs/>
    </w:rPr>
  </w:style>
  <w:style w:type="character" w:styleId="HTMLCode">
    <w:name w:val="HTML Code"/>
    <w:basedOn w:val="DefaultParagraphFont"/>
    <w:uiPriority w:val="99"/>
    <w:semiHidden/>
    <w:unhideWhenUsed/>
    <w:rsid w:val="00626557"/>
    <w:rPr>
      <w:rFonts w:ascii="Courier New" w:eastAsia="Times New Roman" w:hAnsi="Courier New" w:cs="Courier New"/>
      <w:sz w:val="20"/>
      <w:szCs w:val="20"/>
    </w:rPr>
  </w:style>
  <w:style w:type="table" w:styleId="TableGrid">
    <w:name w:val="Table Grid"/>
    <w:basedOn w:val="TableNormal"/>
    <w:uiPriority w:val="39"/>
    <w:rsid w:val="00626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B04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4AE"/>
  </w:style>
  <w:style w:type="character" w:styleId="PageNumber">
    <w:name w:val="page number"/>
    <w:basedOn w:val="DefaultParagraphFont"/>
    <w:uiPriority w:val="99"/>
    <w:semiHidden/>
    <w:unhideWhenUsed/>
    <w:rsid w:val="00EB04AE"/>
  </w:style>
  <w:style w:type="character" w:customStyle="1" w:styleId="relative">
    <w:name w:val="relative"/>
    <w:basedOn w:val="DefaultParagraphFont"/>
    <w:rsid w:val="00BB4B26"/>
  </w:style>
  <w:style w:type="paragraph" w:customStyle="1" w:styleId="not-prose">
    <w:name w:val="not-prose"/>
    <w:basedOn w:val="Normal"/>
    <w:rsid w:val="00BB4B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0D405-2880-F84B-8EE7-E4C003DBA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3221</Words>
  <Characters>18366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Ramzi Nia</dc:creator>
  <cp:keywords/>
  <dc:description/>
  <cp:lastModifiedBy>Ramzi Nia</cp:lastModifiedBy>
  <cp:revision>3</cp:revision>
  <dcterms:created xsi:type="dcterms:W3CDTF">2025-12-08T17:59:00Z</dcterms:created>
  <dcterms:modified xsi:type="dcterms:W3CDTF">2025-12-09T16:39:00Z</dcterms:modified>
</cp:coreProperties>
</file>