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9E2" w:rsidRPr="004459E2" w:rsidRDefault="004459E2" w:rsidP="004459E2">
      <w:pPr>
        <w:rPr>
          <w:b/>
          <w:sz w:val="24"/>
        </w:rPr>
      </w:pPr>
      <w:r w:rsidRPr="004459E2">
        <w:rPr>
          <w:b/>
          <w:sz w:val="24"/>
        </w:rPr>
        <w:t>Efficient Bone Fracture Identification: A MobileNetV2-Based Transfer Learning Framework</w:t>
      </w:r>
    </w:p>
    <w:p w:rsidR="0009140D" w:rsidRPr="004459E2" w:rsidRDefault="004459E2" w:rsidP="004459E2">
      <w:pPr>
        <w:jc w:val="center"/>
        <w:rPr>
          <w:sz w:val="24"/>
        </w:rPr>
      </w:pPr>
      <w:r w:rsidRPr="004459E2">
        <w:rPr>
          <w:sz w:val="24"/>
        </w:rPr>
        <w:t xml:space="preserve">Wazir Muhamad, </w:t>
      </w:r>
      <w:proofErr w:type="spellStart"/>
      <w:r w:rsidRPr="004459E2">
        <w:rPr>
          <w:sz w:val="24"/>
        </w:rPr>
        <w:t>Nazia</w:t>
      </w:r>
      <w:proofErr w:type="spellEnd"/>
      <w:r w:rsidRPr="004459E2">
        <w:rPr>
          <w:sz w:val="24"/>
        </w:rPr>
        <w:t xml:space="preserve"> </w:t>
      </w:r>
      <w:proofErr w:type="spellStart"/>
      <w:r w:rsidRPr="004459E2">
        <w:rPr>
          <w:sz w:val="24"/>
        </w:rPr>
        <w:t>Ejaz</w:t>
      </w:r>
      <w:proofErr w:type="spellEnd"/>
      <w:r w:rsidRPr="004459E2">
        <w:rPr>
          <w:sz w:val="24"/>
        </w:rPr>
        <w:t xml:space="preserve">, Fahad </w:t>
      </w:r>
      <w:proofErr w:type="spellStart"/>
      <w:r w:rsidRPr="004459E2">
        <w:rPr>
          <w:sz w:val="24"/>
        </w:rPr>
        <w:t>Azeem</w:t>
      </w:r>
      <w:proofErr w:type="spellEnd"/>
    </w:p>
    <w:p w:rsidR="00622824" w:rsidRDefault="004459E2" w:rsidP="00341E22">
      <w:pPr>
        <w:jc w:val="both"/>
        <w:rPr>
          <w:sz w:val="24"/>
        </w:rPr>
      </w:pPr>
      <w:r w:rsidRPr="004459E2">
        <w:rPr>
          <w:b/>
          <w:sz w:val="24"/>
        </w:rPr>
        <w:t>ABSTRACT</w:t>
      </w:r>
      <w:r>
        <w:rPr>
          <w:b/>
          <w:sz w:val="24"/>
        </w:rPr>
        <w:t>:</w:t>
      </w:r>
      <w:r w:rsidRPr="004459E2">
        <w:rPr>
          <w:sz w:val="24"/>
        </w:rPr>
        <w:t xml:space="preserve"> </w:t>
      </w:r>
    </w:p>
    <w:p w:rsidR="00622824" w:rsidRDefault="00622824" w:rsidP="00341E22">
      <w:pPr>
        <w:jc w:val="both"/>
        <w:rPr>
          <w:sz w:val="24"/>
        </w:rPr>
      </w:pPr>
      <w:r w:rsidRPr="00622824">
        <w:rPr>
          <w:sz w:val="24"/>
        </w:rPr>
        <w:t>Rapid advances in automatic diagnosis have moved from simple image processing techniques to more complex deep learning models. Yet, a critical issue still exists in achieving high accuracy while maintaining efficient computation for real-time applications in clinical environments. In this research, we present an efficient yet highly accurate framework for automated detection of tibia and fibula fractures using transfer learning with the MobileNetV2 model. Our method employs a pre-trained backbone network of MobileNetV2, which is kept frozen to preserve its learned visual features from the ImageNet dataset, combined with a personalized classifier head.</w:t>
      </w:r>
      <w:r>
        <w:rPr>
          <w:sz w:val="24"/>
        </w:rPr>
        <w:t xml:space="preserve"> </w:t>
      </w:r>
      <w:r w:rsidRPr="00622824">
        <w:rPr>
          <w:sz w:val="24"/>
        </w:rPr>
        <w:t xml:space="preserve">The head makes use of a GlobalAveragePooling2D layer for reducing the risks of overfitting and also uses a dense interpretative layer with 128 neurons and ReLU activation to give an output through Softmax. </w:t>
      </w:r>
      <w:r w:rsidR="00862539">
        <w:rPr>
          <w:sz w:val="24"/>
        </w:rPr>
        <w:t xml:space="preserve">In this paper </w:t>
      </w:r>
      <w:r w:rsidRPr="00622824">
        <w:rPr>
          <w:sz w:val="24"/>
        </w:rPr>
        <w:t xml:space="preserve">the </w:t>
      </w:r>
      <w:r w:rsidR="00862539">
        <w:rPr>
          <w:sz w:val="24"/>
        </w:rPr>
        <w:t xml:space="preserve">network architecture </w:t>
      </w:r>
      <w:r w:rsidRPr="00622824">
        <w:rPr>
          <w:sz w:val="24"/>
        </w:rPr>
        <w:t>was tested using a unique 319 MB database of Tibia and Fibula X-ray images obtained from University of Gondar Referral Hospital and the MURA data base. To extract reliable features from the X-ray images, preprocessing techniques were applied to images including median and Gaussian filtering</w:t>
      </w:r>
      <w:r w:rsidR="00862539">
        <w:rPr>
          <w:sz w:val="24"/>
        </w:rPr>
        <w:t>.</w:t>
      </w:r>
      <w:r w:rsidRPr="00622824">
        <w:rPr>
          <w:sz w:val="24"/>
        </w:rPr>
        <w:t xml:space="preserve"> The experimental results of this framework prove its high efficiency and effectiveness since it has achieved an optimal value of validation accuracy of 96% and an F1 score indicating very reliable results with respect to "Fractured" and "Normal" classes.</w:t>
      </w:r>
    </w:p>
    <w:p w:rsidR="00CF5094" w:rsidRPr="00CF5094" w:rsidRDefault="00CF5094" w:rsidP="00CF5094">
      <w:pPr>
        <w:jc w:val="both"/>
      </w:pPr>
      <w:r>
        <w:rPr>
          <w:b/>
          <w:i/>
          <w:sz w:val="24"/>
        </w:rPr>
        <w:t xml:space="preserve">Keywords: </w:t>
      </w:r>
      <w:r w:rsidRPr="00CF5094">
        <w:rPr>
          <w:sz w:val="24"/>
        </w:rPr>
        <w:t>Deep Learning</w:t>
      </w:r>
      <w:r>
        <w:t xml:space="preserve">, </w:t>
      </w:r>
      <w:r w:rsidRPr="00CF5094">
        <w:t>MobileNetV2</w:t>
      </w:r>
      <w:r>
        <w:t xml:space="preserve">, </w:t>
      </w:r>
      <w:r w:rsidRPr="00CF5094">
        <w:t>Transfer Learning</w:t>
      </w:r>
      <w:r>
        <w:t xml:space="preserve">, </w:t>
      </w:r>
      <w:r w:rsidRPr="00CF5094">
        <w:t>Bone Fracture Identification</w:t>
      </w:r>
      <w:r>
        <w:t xml:space="preserve">, </w:t>
      </w:r>
      <w:r w:rsidRPr="00CF5094">
        <w:t>Medical Image Analysis</w:t>
      </w:r>
    </w:p>
    <w:p w:rsidR="003B4F3C" w:rsidRDefault="003B4F3C" w:rsidP="004459E2">
      <w:pPr>
        <w:jc w:val="both"/>
        <w:rPr>
          <w:b/>
          <w:sz w:val="24"/>
        </w:rPr>
      </w:pPr>
      <w:r>
        <w:rPr>
          <w:b/>
          <w:sz w:val="24"/>
        </w:rPr>
        <w:t>Related Work</w:t>
      </w:r>
    </w:p>
    <w:p w:rsidR="00622824" w:rsidRPr="00622824" w:rsidRDefault="00622824" w:rsidP="004459E2">
      <w:pPr>
        <w:jc w:val="both"/>
        <w:rPr>
          <w:color w:val="ED7D31" w:themeColor="accent2"/>
        </w:rPr>
      </w:pPr>
      <w:r w:rsidRPr="00622824">
        <w:rPr>
          <w:sz w:val="24"/>
        </w:rPr>
        <w:t xml:space="preserve">The evolution of bone fracture detection systems has progressed quickly, shifting from classical image processing methods to advanced DL models. Recent trends concentrate on creating models that ensure accuracy while minimizing </w:t>
      </w:r>
      <w:r w:rsidRPr="00862539">
        <w:rPr>
          <w:sz w:val="24"/>
        </w:rPr>
        <w:t xml:space="preserve">computational complexity for real-time applications. The early studies of </w:t>
      </w:r>
      <w:r w:rsidR="00862539" w:rsidRPr="00862539">
        <w:rPr>
          <w:sz w:val="24"/>
        </w:rPr>
        <w:t>Computer-Aided Design</w:t>
      </w:r>
      <w:r w:rsidR="00862539" w:rsidRPr="00862539">
        <w:rPr>
          <w:sz w:val="24"/>
        </w:rPr>
        <w:t xml:space="preserve"> </w:t>
      </w:r>
      <w:r w:rsidR="00862539">
        <w:rPr>
          <w:sz w:val="24"/>
        </w:rPr>
        <w:t>(</w:t>
      </w:r>
      <w:r w:rsidRPr="00862539">
        <w:rPr>
          <w:sz w:val="24"/>
        </w:rPr>
        <w:t>CAD</w:t>
      </w:r>
      <w:r w:rsidR="00862539">
        <w:rPr>
          <w:sz w:val="24"/>
        </w:rPr>
        <w:t>)</w:t>
      </w:r>
      <w:r w:rsidRPr="00862539">
        <w:rPr>
          <w:sz w:val="24"/>
        </w:rPr>
        <w:t xml:space="preserve"> applications in orthopedics involved manually extracting features using statistical analysis </w:t>
      </w:r>
      <w:r w:rsidRPr="00862539">
        <w:rPr>
          <w:sz w:val="24"/>
        </w:rPr>
        <w:fldChar w:fldCharType="begin"/>
      </w:r>
      <w:r w:rsidRPr="00862539">
        <w:rPr>
          <w:sz w:val="24"/>
        </w:rPr>
        <w:instrText xml:space="preserve"> ADDIN EN.CITE &lt;EndNote&gt;&lt;Cite&gt;&lt;Author&gt;Kubicek&lt;/Author&gt;&lt;Year&gt;2019&lt;/Year&gt;&lt;RecNum&gt;32&lt;/RecNum&gt;&lt;DisplayText&gt;[1]&lt;/DisplayText&gt;&lt;record&gt;&lt;rec-number&gt;32&lt;/rec-number&gt;&lt;foreign-keys&gt;&lt;key app="EN" db-id="xadwfw0wa2p00ae2025p025yz5r2d20a2szf" timestamp="1777608318"&gt;32&lt;/key&gt;&lt;/foreign-keys&gt;&lt;ref-type name="Journal Article"&gt;17&lt;/ref-type&gt;&lt;contributors&gt;&lt;authors&gt;&lt;author&gt;Kubicek, Jan&lt;/author&gt;&lt;author&gt;Tomanec, Filip&lt;/author&gt;&lt;author&gt;Cerny, Martin&lt;/author&gt;&lt;author&gt;Vilimek, Dominik&lt;/author&gt;&lt;author&gt;Kalova, Martina&lt;/author&gt;&lt;author&gt;Oczka, David&lt;/author&gt;&lt;/authors&gt;&lt;/contributors&gt;&lt;titles&gt;&lt;title&gt;Recent trends, technical concepts and components of computer-assisted orthopedic surgery systems: a comprehensive review&lt;/title&gt;&lt;secondary-title&gt;Sensors&lt;/secondary-title&gt;&lt;/titles&gt;&lt;periodical&gt;&lt;full-title&gt;Sensors&lt;/full-title&gt;&lt;/periodical&gt;&lt;pages&gt;5199&lt;/pages&gt;&lt;volume&gt;19&lt;/volume&gt;&lt;number&gt;23&lt;/number&gt;&lt;dates&gt;&lt;year&gt;2019&lt;/year&gt;&lt;/dates&gt;&lt;isbn&gt;1424-8220&lt;/isbn&gt;&lt;urls&gt;&lt;/urls&gt;&lt;/record&gt;&lt;/Cite&gt;&lt;/EndNote&gt;</w:instrText>
      </w:r>
      <w:r w:rsidRPr="00862539">
        <w:rPr>
          <w:sz w:val="24"/>
        </w:rPr>
        <w:fldChar w:fldCharType="separate"/>
      </w:r>
      <w:r w:rsidRPr="00862539">
        <w:rPr>
          <w:sz w:val="24"/>
        </w:rPr>
        <w:t>[1]</w:t>
      </w:r>
      <w:r w:rsidRPr="00862539">
        <w:rPr>
          <w:sz w:val="24"/>
        </w:rPr>
        <w:fldChar w:fldCharType="end"/>
      </w:r>
      <w:r w:rsidRPr="00862539">
        <w:rPr>
          <w:sz w:val="24"/>
        </w:rPr>
        <w:t xml:space="preserve">. The arrival of CNN models led to the utilization of hierarchical spatial features extracted from X-ray images </w:t>
      </w:r>
      <w:r w:rsidRPr="00862539">
        <w:rPr>
          <w:sz w:val="24"/>
        </w:rPr>
        <w:fldChar w:fldCharType="begin"/>
      </w:r>
      <w:r w:rsidRPr="00862539">
        <w:rPr>
          <w:sz w:val="24"/>
        </w:rPr>
        <w:instrText xml:space="preserve"> ADDIN EN.CITE &lt;EndNote&gt;&lt;Cite&gt;&lt;Author&gt;Cheng&lt;/Author&gt;&lt;Year&gt;2021&lt;/Year&gt;&lt;RecNum&gt;33&lt;/RecNum&gt;&lt;DisplayText&gt;[2]&lt;/DisplayText&gt;&lt;record&gt;&lt;rec-number&gt;33&lt;/rec-number&gt;&lt;foreign-keys&gt;&lt;key app="EN" db-id="xadwfw0wa2p00ae2025p025yz5r2d20a2szf" timestamp="1777608446"&gt;33&lt;/key&gt;&lt;/foreign-keys&gt;&lt;ref-type name="Journal Article"&gt;17&lt;/ref-type&gt;&lt;contributors&gt;&lt;authors&gt;&lt;author&gt;Cheng, Phillip M&lt;/author&gt;&lt;author&gt;Montagnon, Emmanuel&lt;/author&gt;&lt;author&gt;Yamashita, Rikiya&lt;/author&gt;&lt;author&gt;Pan, Ian&lt;/author&gt;&lt;author&gt;Cadrin-Chênevert, Alexandre&lt;/author&gt;&lt;author&gt;Perdigón Romero, Francisco&lt;/author&gt;&lt;author&gt;Chartrand, Gabriel&lt;/author&gt;&lt;author&gt;Kadoury, Samuel&lt;/author&gt;&lt;author&gt;Tang, An&lt;/author&gt;&lt;/authors&gt;&lt;/contributors&gt;&lt;titles&gt;&lt;title&gt;Deep learning: an update for radiologists&lt;/title&gt;&lt;secondary-title&gt;Radiographics&lt;/secondary-title&gt;&lt;/titles&gt;&lt;periodical&gt;&lt;full-title&gt;Radiographics&lt;/full-title&gt;&lt;/periodical&gt;&lt;pages&gt;1427-1445&lt;/pages&gt;&lt;volume&gt;41&lt;/volume&gt;&lt;number&gt;5&lt;/number&gt;&lt;dates&gt;&lt;year&gt;2021&lt;/year&gt;&lt;/dates&gt;&lt;isbn&gt;0271-5333&lt;/isbn&gt;&lt;urls&gt;&lt;/urls&gt;&lt;/record&gt;&lt;/Cite&gt;&lt;/EndNote&gt;</w:instrText>
      </w:r>
      <w:r w:rsidRPr="00862539">
        <w:rPr>
          <w:sz w:val="24"/>
        </w:rPr>
        <w:fldChar w:fldCharType="separate"/>
      </w:r>
      <w:r w:rsidRPr="00862539">
        <w:rPr>
          <w:sz w:val="24"/>
        </w:rPr>
        <w:t>[2]</w:t>
      </w:r>
      <w:r w:rsidRPr="00862539">
        <w:rPr>
          <w:sz w:val="24"/>
        </w:rPr>
        <w:fldChar w:fldCharType="end"/>
      </w:r>
      <w:r w:rsidRPr="00862539">
        <w:rPr>
          <w:sz w:val="24"/>
        </w:rPr>
        <w:t xml:space="preserve">. In the initial studies, models like VGG16 provided accuracies of approximately 85.20% but were constrained by the shallowness of the features extracted and the high number of parameters involved </w:t>
      </w:r>
      <w:r w:rsidRPr="00862539">
        <w:rPr>
          <w:sz w:val="24"/>
        </w:rPr>
        <w:fldChar w:fldCharType="begin"/>
      </w:r>
      <w:r w:rsidRPr="00862539">
        <w:rPr>
          <w:sz w:val="24"/>
        </w:rPr>
        <w:instrText xml:space="preserve"> ADDIN EN.CITE &lt;EndNote&gt;&lt;Cite&gt;&lt;Author&gt;Naseem&lt;/Author&gt;&lt;Year&gt;2025&lt;/Year&gt;&lt;RecNum&gt;34&lt;/RecNum&gt;&lt;DisplayText&gt;[3]&lt;/DisplayText&gt;&lt;record&gt;&lt;rec-number&gt;34&lt;/rec-number&gt;&lt;foreign-keys&gt;&lt;key app="EN" db-id="xadwfw0wa2p00ae2025p025yz5r2d20a2szf" timestamp="1777608551"&gt;34&lt;/key&gt;&lt;/foreign-keys&gt;&lt;ref-type name="Journal Article"&gt;17&lt;/ref-type&gt;&lt;contributors&gt;&lt;authors&gt;&lt;author&gt;Naseem, Muhammad Tahir&lt;/author&gt;&lt;author&gt;Lee, Chan-Su&lt;/author&gt;&lt;author&gt;Shahzad, Tariq&lt;/author&gt;&lt;author&gt;Khan, Muhammad Adnan&lt;/author&gt;&lt;author&gt;Abu-Mahfouz, Adnan M&lt;/author&gt;&lt;author&gt;Ouahada, Khmaies&lt;/author&gt;&lt;/authors&gt;&lt;/contributors&gt;&lt;titles&gt;&lt;title&gt;Facial expression recognition using visible and IR by early fusion of deep learning with attention mechanism&lt;/title&gt;&lt;secondary-title&gt;PeerJ Computer Science&lt;/secondary-title&gt;&lt;/titles&gt;&lt;periodical&gt;&lt;full-title&gt;PeerJ Computer Science&lt;/full-title&gt;&lt;/periodical&gt;&lt;pages&gt;e2676&lt;/pages&gt;&lt;volume&gt;11&lt;/volume&gt;&lt;dates&gt;&lt;year&gt;2025&lt;/year&gt;&lt;/dates&gt;&lt;isbn&gt;2376-5992&lt;/isbn&gt;&lt;urls&gt;&lt;/urls&gt;&lt;/record&gt;&lt;/Cite&gt;&lt;/EndNote&gt;</w:instrText>
      </w:r>
      <w:r w:rsidRPr="00862539">
        <w:rPr>
          <w:sz w:val="24"/>
        </w:rPr>
        <w:fldChar w:fldCharType="separate"/>
      </w:r>
      <w:r w:rsidRPr="00862539">
        <w:rPr>
          <w:noProof/>
          <w:sz w:val="24"/>
        </w:rPr>
        <w:t>[3]</w:t>
      </w:r>
      <w:r w:rsidRPr="00862539">
        <w:rPr>
          <w:sz w:val="24"/>
        </w:rPr>
        <w:fldChar w:fldCharType="end"/>
      </w:r>
      <w:r w:rsidRPr="00862539">
        <w:rPr>
          <w:sz w:val="24"/>
        </w:rPr>
        <w:t xml:space="preserve">. Further advancements have increased the accuracy to more than 93% by preprocessing and tuning of the network, proving the feasibility of DL in detecting bone fractures </w:t>
      </w:r>
      <w:r w:rsidRPr="00862539">
        <w:rPr>
          <w:sz w:val="24"/>
        </w:rPr>
        <w:fldChar w:fldCharType="begin"/>
      </w:r>
      <w:r w:rsidRPr="00862539">
        <w:rPr>
          <w:sz w:val="24"/>
        </w:rPr>
        <w:instrText xml:space="preserve"> ADDIN EN.CITE &lt;EndNote&gt;&lt;Cite&gt;&lt;Author&gt;Scutelnicu&lt;/Author&gt;&lt;Year&gt;2025&lt;/Year&gt;&lt;RecNum&gt;35&lt;/RecNum&gt;&lt;DisplayText&gt;[4]&lt;/DisplayText&gt;&lt;record&gt;&lt;rec-number&gt;35&lt;/rec-number&gt;&lt;foreign-keys&gt;&lt;key app="EN" db-id="xadwfw0wa2p00ae2025p025yz5r2d20a2szf" timestamp="1777608609"&gt;35&lt;/key&gt;&lt;/foreign-keys&gt;&lt;ref-type name="Journal Article"&gt;17&lt;/ref-type&gt;&lt;contributors&gt;&lt;authors&gt;&lt;author&gt;Scutelnicu, Liviu-Andrei&lt;/author&gt;&lt;author&gt;Forna, Norin&lt;/author&gt;&lt;author&gt;Luca, Mihaela&lt;/author&gt;&lt;/authors&gt;&lt;/contributors&gt;&lt;titles&gt;&lt;title&gt;An overview of techniques for automatic detection of bone fractures&lt;/title&gt;&lt;secondary-title&gt;Procedia Computer Science&lt;/secondary-title&gt;&lt;/titles&gt;&lt;periodical&gt;&lt;full-title&gt;Procedia Computer Science&lt;/full-title&gt;&lt;/periodical&gt;&lt;pages&gt;1557-1567&lt;/pages&gt;&lt;volume&gt;270&lt;/volume&gt;&lt;dates&gt;&lt;year&gt;2025&lt;/year&gt;&lt;/dates&gt;&lt;isbn&gt;1877-0509&lt;/isbn&gt;&lt;urls&gt;&lt;/urls&gt;&lt;/record&gt;&lt;/Cite&gt;&lt;/EndNote&gt;</w:instrText>
      </w:r>
      <w:r w:rsidRPr="00862539">
        <w:rPr>
          <w:sz w:val="24"/>
        </w:rPr>
        <w:fldChar w:fldCharType="separate"/>
      </w:r>
      <w:r w:rsidRPr="00862539">
        <w:rPr>
          <w:noProof/>
          <w:sz w:val="24"/>
        </w:rPr>
        <w:t>[4]</w:t>
      </w:r>
      <w:r w:rsidRPr="00862539">
        <w:rPr>
          <w:sz w:val="24"/>
        </w:rPr>
        <w:fldChar w:fldCharType="end"/>
      </w:r>
      <w:r w:rsidRPr="00622824">
        <w:rPr>
          <w:sz w:val="24"/>
        </w:rPr>
        <w:t xml:space="preserve">. Lack of labeled </w:t>
      </w:r>
      <w:r w:rsidRPr="00862539">
        <w:rPr>
          <w:sz w:val="24"/>
        </w:rPr>
        <w:t xml:space="preserve">data remains one of the major limitations to AI applications in healthcare. Transfer learning has become the standard approach in this regard, whereby general-purpose models are customized using pre-training and fine-tuning methods to perform specific medical tasks </w:t>
      </w:r>
      <w:r w:rsidRPr="00862539">
        <w:rPr>
          <w:sz w:val="24"/>
        </w:rPr>
        <w:fldChar w:fldCharType="begin"/>
      </w:r>
      <w:r w:rsidRPr="00862539">
        <w:rPr>
          <w:sz w:val="24"/>
        </w:rPr>
        <w:instrText xml:space="preserve"> ADDIN EN.CITE &lt;EndNote&gt;&lt;Cite&gt;&lt;Author&gt;Rahujo&lt;/Author&gt;&lt;Year&gt;2025&lt;/Year&gt;&lt;RecNum&gt;36&lt;/RecNum&gt;&lt;DisplayText&gt;[5]&lt;/DisplayText&gt;&lt;record&gt;&lt;rec-number&gt;36&lt;/rec-number&gt;&lt;foreign-keys&gt;&lt;key app="EN" db-id="xadwfw0wa2p00ae2025p025yz5r2d20a2szf" timestamp="1777608738"&gt;36&lt;/key&gt;&lt;/foreign-keys&gt;&lt;ref-type name="Journal Article"&gt;17&lt;/ref-type&gt;&lt;contributors&gt;&lt;authors&gt;&lt;author&gt;Rahujo, Anmol&lt;/author&gt;&lt;author&gt;Atif, Daniya&lt;/author&gt;&lt;author&gt;Inam, Syed Azeem&lt;/author&gt;&lt;author&gt;Khan, Abdullah Ayub&lt;/author&gt;&lt;author&gt;Ullah, Sajid&lt;/author&gt;&lt;/authors&gt;&lt;/contributors&gt;&lt;titles&gt;&lt;title&gt;A survey on the applications of transfer learning to enhance the performance of large language models in healthcare systems&lt;/title&gt;&lt;secondary-title&gt;Discover Artificial Intelligence&lt;/secondary-title&gt;&lt;/titles&gt;&lt;periodical&gt;&lt;full-title&gt;Discover Artificial Intelligence&lt;/full-title&gt;&lt;/periodical&gt;&lt;pages&gt;90&lt;/pages&gt;&lt;volume&gt;5&lt;/volume&gt;&lt;number&gt;1&lt;/number&gt;&lt;dates&gt;&lt;year&gt;2025&lt;/year&gt;&lt;/dates&gt;&lt;isbn&gt;2731-0809&lt;/isbn&gt;&lt;urls&gt;&lt;/urls&gt;&lt;/record&gt;&lt;/Cite&gt;&lt;/EndNote&gt;</w:instrText>
      </w:r>
      <w:r w:rsidRPr="00862539">
        <w:rPr>
          <w:sz w:val="24"/>
        </w:rPr>
        <w:fldChar w:fldCharType="separate"/>
      </w:r>
      <w:r w:rsidRPr="00862539">
        <w:rPr>
          <w:sz w:val="24"/>
        </w:rPr>
        <w:t>[5]</w:t>
      </w:r>
      <w:r w:rsidRPr="00862539">
        <w:rPr>
          <w:sz w:val="24"/>
        </w:rPr>
        <w:fldChar w:fldCharType="end"/>
      </w:r>
      <w:r w:rsidRPr="00862539">
        <w:rPr>
          <w:sz w:val="24"/>
        </w:rPr>
        <w:t xml:space="preserve">. The latest </w:t>
      </w:r>
      <w:r w:rsidR="00862539" w:rsidRPr="00862539">
        <w:rPr>
          <w:sz w:val="24"/>
        </w:rPr>
        <w:t>State-of-the-Art</w:t>
      </w:r>
      <w:r w:rsidR="00862539" w:rsidRPr="00862539">
        <w:rPr>
          <w:sz w:val="24"/>
        </w:rPr>
        <w:t xml:space="preserve"> </w:t>
      </w:r>
      <w:r w:rsidR="00862539">
        <w:rPr>
          <w:sz w:val="24"/>
        </w:rPr>
        <w:t>(</w:t>
      </w:r>
      <w:r w:rsidRPr="00862539">
        <w:rPr>
          <w:sz w:val="24"/>
        </w:rPr>
        <w:t>SOTA</w:t>
      </w:r>
      <w:r w:rsidR="00862539">
        <w:rPr>
          <w:sz w:val="24"/>
        </w:rPr>
        <w:t>)</w:t>
      </w:r>
      <w:r w:rsidRPr="00862539">
        <w:rPr>
          <w:sz w:val="24"/>
        </w:rPr>
        <w:t xml:space="preserve"> studies have considered integrating multiple models. For example, a fusion of EfficientNetB3 and ResNet50 based on feature-level fusion and attention mechanisms has been introduced for achieving high precision in identifying minute fracture features in ten classes of fractures </w:t>
      </w:r>
      <w:r w:rsidRPr="00862539">
        <w:fldChar w:fldCharType="begin"/>
      </w:r>
      <w:r w:rsidRPr="00862539">
        <w:instrText xml:space="preserve"> ADDIN EN.CITE &lt;EndNote&gt;&lt;Cite&gt;&lt;Author&gt;Bhuria&lt;/Author&gt;&lt;Year&gt;2026&lt;/Year&gt;&lt;RecNum&gt;37&lt;/RecNum&gt;&lt;DisplayText&gt;[6]&lt;/DisplayText&gt;&lt;record&gt;&lt;rec-number&gt;37&lt;/rec-number&gt;&lt;foreign-keys&gt;&lt;key app="EN" db-id="xadwfw0wa2p00ae2025p025yz5r2d20a2szf" timestamp="1777608912"&gt;37&lt;/key&gt;&lt;/foreign-keys&gt;&lt;ref-type name="Journal Article"&gt;17&lt;/ref-type&gt;&lt;contributors&gt;&lt;authors&gt;&lt;author&gt;Bhuria, Ruchika&lt;/author&gt;&lt;author&gt;Gupta, Sheifali&lt;/author&gt;&lt;author&gt;Ghoniem, Rania M&lt;/author&gt;&lt;author&gt;Singh, Jaibir&lt;/author&gt;&lt;author&gt;Rani, Suman&lt;/author&gt;&lt;author&gt;Taye, Belayneh Matebie&lt;/author&gt;&lt;author&gt;Bharany, Salil&lt;/author&gt;&lt;/authors&gt;&lt;/contributors&gt;&lt;titles&gt;&lt;title&gt;A transfer learning–based approach for automated bone fracture classification in X-ray imaging&lt;/title&gt;&lt;secondary-title&gt;Therapeutic Advances in Musculoskeletal Disease&lt;/secondary-title&gt;&lt;/titles&gt;&lt;periodical&gt;&lt;full-title&gt;Therapeutic Advances in Musculoskeletal Disease&lt;/full-title&gt;&lt;/periodical&gt;&lt;pages&gt;1759720X251405099&lt;/pages&gt;&lt;volume&gt;18&lt;/volume&gt;&lt;dates&gt;&lt;year&gt;2026&lt;/year&gt;&lt;/dates&gt;&lt;isbn&gt;1759-720X&lt;/isbn&gt;&lt;urls&gt;&lt;/urls&gt;&lt;/record&gt;&lt;/Cite&gt;&lt;/EndNote&gt;</w:instrText>
      </w:r>
      <w:r w:rsidRPr="00862539">
        <w:fldChar w:fldCharType="separate"/>
      </w:r>
      <w:r w:rsidRPr="00862539">
        <w:rPr>
          <w:noProof/>
        </w:rPr>
        <w:t>[6]</w:t>
      </w:r>
      <w:r w:rsidRPr="00862539">
        <w:fldChar w:fldCharType="end"/>
      </w:r>
      <w:r w:rsidRPr="00862539">
        <w:rPr>
          <w:sz w:val="24"/>
        </w:rPr>
        <w:t xml:space="preserve">. Although deep models such as ResNet152V2 and </w:t>
      </w:r>
      <w:proofErr w:type="spellStart"/>
      <w:r w:rsidRPr="00862539">
        <w:rPr>
          <w:sz w:val="24"/>
        </w:rPr>
        <w:t>DenseNet</w:t>
      </w:r>
      <w:proofErr w:type="spellEnd"/>
      <w:r w:rsidRPr="00862539">
        <w:rPr>
          <w:sz w:val="24"/>
        </w:rPr>
        <w:t xml:space="preserve"> </w:t>
      </w:r>
      <w:r w:rsidRPr="00622824">
        <w:rPr>
          <w:sz w:val="24"/>
        </w:rPr>
        <w:t xml:space="preserve">provide high accuracy, they are computationally </w:t>
      </w:r>
      <w:r w:rsidRPr="00622824">
        <w:rPr>
          <w:sz w:val="24"/>
        </w:rPr>
        <w:lastRenderedPageBreak/>
        <w:t xml:space="preserve">expensive and therefore not </w:t>
      </w:r>
      <w:r w:rsidRPr="00862539">
        <w:rPr>
          <w:sz w:val="24"/>
        </w:rPr>
        <w:t xml:space="preserve">applicable to portable medical equipment </w:t>
      </w:r>
      <w:r w:rsidRPr="00862539">
        <w:fldChar w:fldCharType="begin"/>
      </w:r>
      <w:r w:rsidRPr="00862539">
        <w:instrText xml:space="preserve"> ADDIN EN.CITE &lt;EndNote&gt;&lt;Cite&gt;&lt;Author&gt;Taifi&lt;/Author&gt;&lt;Year&gt;2025&lt;/Year&gt;&lt;RecNum&gt;38&lt;/RecNum&gt;&lt;DisplayText&gt;[7]&lt;/DisplayText&gt;&lt;record&gt;&lt;rec-number&gt;38&lt;/rec-number&gt;&lt;foreign-keys&gt;&lt;key app="EN" db-id="xadwfw0wa2p00ae2025p025yz5r2d20a2szf" timestamp="1777608997"&gt;38&lt;/key&gt;&lt;/foreign-keys&gt;&lt;ref-type name="Journal Article"&gt;17&lt;/ref-type&gt;&lt;contributors&gt;&lt;authors&gt;&lt;author&gt;Taifi, Khaddouj&lt;/author&gt;&lt;author&gt;Sabbar, Yassine&lt;/author&gt;&lt;author&gt;Ardah, Hanin&lt;/author&gt;&lt;author&gt;Abdel-Aty, Abdel-Haleem&lt;/author&gt;&lt;/authors&gt;&lt;/contributors&gt;&lt;titles&gt;&lt;title&gt;Enhanced dl-based breast cancer diagnosis and classification using modified densenet-121, densenet-201, and mobilenetv2: Optimized architectures and refined activation functions&lt;/title&gt;&lt;secondary-title&gt;IEEE Access&lt;/secondary-title&gt;&lt;/titles&gt;&lt;periodical&gt;&lt;full-title&gt;IEEE access&lt;/full-title&gt;&lt;/periodical&gt;&lt;dates&gt;&lt;year&gt;2025&lt;/year&gt;&lt;/dates&gt;&lt;isbn&gt;2169-3536&lt;/isbn&gt;&lt;urls&gt;&lt;/urls&gt;&lt;/record&gt;&lt;/Cite&gt;&lt;/EndNote&gt;</w:instrText>
      </w:r>
      <w:r w:rsidRPr="00862539">
        <w:fldChar w:fldCharType="separate"/>
      </w:r>
      <w:r w:rsidRPr="00862539">
        <w:rPr>
          <w:noProof/>
        </w:rPr>
        <w:t>[7]</w:t>
      </w:r>
      <w:r w:rsidRPr="00862539">
        <w:fldChar w:fldCharType="end"/>
      </w:r>
      <w:r w:rsidRPr="00862539">
        <w:t xml:space="preserve">. </w:t>
      </w:r>
      <w:r w:rsidRPr="00862539">
        <w:rPr>
          <w:sz w:val="24"/>
        </w:rPr>
        <w:t xml:space="preserve">Recent studies have indicated that when a MobileNetV2 is optimized, its performance is better than heavyweights such as ResNet50, giving an accuracy rate of up to 99%, although its memory size will be relatively small </w:t>
      </w:r>
      <w:r w:rsidRPr="00862539">
        <w:rPr>
          <w:sz w:val="24"/>
        </w:rPr>
        <w:fldChar w:fldCharType="begin"/>
      </w:r>
      <w:r w:rsidRPr="00862539">
        <w:rPr>
          <w:sz w:val="24"/>
        </w:rPr>
        <w:instrText xml:space="preserve"> ADDIN EN.CITE &lt;EndNote&gt;&lt;Cite&gt;&lt;Author&gt;Mambile&lt;/Author&gt;&lt;Year&gt;2025&lt;/Year&gt;&lt;RecNum&gt;39&lt;/RecNum&gt;&lt;DisplayText&gt;[8]&lt;/DisplayText&gt;&lt;record&gt;&lt;rec-number&gt;39&lt;/rec-number&gt;&lt;foreign-keys&gt;&lt;key app="EN" db-id="xadwfw0wa2p00ae2025p025yz5r2d20a2szf" timestamp="1777609139"&gt;39&lt;/key&gt;&lt;/foreign-keys&gt;&lt;ref-type name="Journal Article"&gt;17&lt;/ref-type&gt;&lt;contributors&gt;&lt;authors&gt;&lt;author&gt;Mambile, Cesilia&lt;/author&gt;&lt;author&gt;Leo, Judith&lt;/author&gt;&lt;author&gt;Kaijage, Shubi&lt;/author&gt;&lt;/authors&gt;&lt;/contributors&gt;&lt;titles&gt;&lt;title&gt;Comparative analysis of CNN architectures for satellite-based forest fire detection: A mobile-friendly approach using Sentinel-2 imagery&lt;/title&gt;&lt;secondary-title&gt;Remote Sensing Applications: Society and Environment&lt;/secondary-title&gt;&lt;/titles&gt;&lt;periodical&gt;&lt;full-title&gt;Remote Sensing Applications: Society and Environment&lt;/full-title&gt;&lt;/periodical&gt;&lt;pages&gt;101739&lt;/pages&gt;&lt;dates&gt;&lt;year&gt;2025&lt;/year&gt;&lt;/dates&gt;&lt;isbn&gt;2352-9385&lt;/isbn&gt;&lt;urls&gt;&lt;/urls&gt;&lt;/record&gt;&lt;/Cite&gt;&lt;/EndNote&gt;</w:instrText>
      </w:r>
      <w:r w:rsidRPr="00862539">
        <w:rPr>
          <w:sz w:val="24"/>
        </w:rPr>
        <w:fldChar w:fldCharType="separate"/>
      </w:r>
      <w:r w:rsidRPr="00862539">
        <w:rPr>
          <w:noProof/>
          <w:sz w:val="24"/>
        </w:rPr>
        <w:t>[8]</w:t>
      </w:r>
      <w:r w:rsidRPr="00862539">
        <w:rPr>
          <w:sz w:val="24"/>
        </w:rPr>
        <w:fldChar w:fldCharType="end"/>
      </w:r>
      <w:r w:rsidRPr="00862539">
        <w:rPr>
          <w:sz w:val="24"/>
        </w:rPr>
        <w:t xml:space="preserve">. In addition, frameworks such as </w:t>
      </w:r>
      <w:proofErr w:type="spellStart"/>
      <w:r w:rsidRPr="00862539">
        <w:rPr>
          <w:sz w:val="24"/>
        </w:rPr>
        <w:t>MobLG</w:t>
      </w:r>
      <w:proofErr w:type="spellEnd"/>
      <w:r w:rsidRPr="00862539">
        <w:rPr>
          <w:sz w:val="24"/>
        </w:rPr>
        <w:t xml:space="preserve">-Net, where MobileNet is used for spatial feature extraction, then followed by a Light Gradient Boosting Machine (LGBM), prove to be more efficient in the prediction of fractures in various </w:t>
      </w:r>
      <w:r w:rsidRPr="00622824">
        <w:rPr>
          <w:sz w:val="24"/>
        </w:rPr>
        <w:t>parts of the body, whether the limb or hip</w:t>
      </w:r>
      <w:r>
        <w:rPr>
          <w:sz w:val="24"/>
        </w:rPr>
        <w:t xml:space="preserve"> </w:t>
      </w:r>
      <w:r w:rsidRPr="00862539">
        <w:rPr>
          <w:sz w:val="24"/>
        </w:rPr>
        <w:fldChar w:fldCharType="begin"/>
      </w:r>
      <w:r w:rsidRPr="00862539">
        <w:rPr>
          <w:sz w:val="24"/>
        </w:rPr>
        <w:instrText xml:space="preserve"> ADDIN EN.CITE &lt;EndNote&gt;&lt;Cite&gt;&lt;Author&gt;Alam&lt;/Author&gt;&lt;Year&gt;2025&lt;/Year&gt;&lt;RecNum&gt;40&lt;/RecNum&gt;&lt;DisplayText&gt;[9]&lt;/DisplayText&gt;&lt;record&gt;&lt;rec-number&gt;40&lt;/rec-number&gt;&lt;foreign-keys&gt;&lt;key app="EN" db-id="xadwfw0wa2p00ae2025p025yz5r2d20a2szf" timestamp="1777609225"&gt;40&lt;/key&gt;&lt;/foreign-keys&gt;&lt;ref-type name="Journal Article"&gt;17&lt;/ref-type&gt;&lt;contributors&gt;&lt;authors&gt;&lt;author&gt;Alam, Aneeza&lt;/author&gt;&lt;author&gt;Al-Shamayleh, Ahmad Sami&lt;/author&gt;&lt;author&gt;Thalji, Nisrean&lt;/author&gt;&lt;author&gt;Raza, Ali&lt;/author&gt;&lt;author&gt;Morales Barajas, Edgar Aníbal&lt;/author&gt;&lt;author&gt;Thompson, Ernesto Bautista&lt;/author&gt;&lt;author&gt;de la Torre Diez, Isabel&lt;/author&gt;&lt;author&gt;Ashraf, Imran&lt;/author&gt;&lt;/authors&gt;&lt;/contributors&gt;&lt;titles&gt;&lt;title&gt;Novel transfer learning based bone fracture detection using radiographic images&lt;/title&gt;&lt;secondary-title&gt;BMC Medical Imaging&lt;/secondary-title&gt;&lt;/titles&gt;&lt;periodical&gt;&lt;full-title&gt;BMC Medical Imaging&lt;/full-title&gt;&lt;/periodical&gt;&lt;pages&gt;5&lt;/pages&gt;&lt;volume&gt;25&lt;/volume&gt;&lt;number&gt;1&lt;/number&gt;&lt;dates&gt;&lt;year&gt;2025&lt;/year&gt;&lt;/dates&gt;&lt;isbn&gt;1471-2342&lt;/isbn&gt;&lt;urls&gt;&lt;/urls&gt;&lt;/record&gt;&lt;/Cite&gt;&lt;/EndNote&gt;</w:instrText>
      </w:r>
      <w:r w:rsidRPr="00862539">
        <w:rPr>
          <w:sz w:val="24"/>
        </w:rPr>
        <w:fldChar w:fldCharType="separate"/>
      </w:r>
      <w:r w:rsidRPr="00862539">
        <w:rPr>
          <w:sz w:val="24"/>
        </w:rPr>
        <w:t>[9]</w:t>
      </w:r>
      <w:r w:rsidRPr="00862539">
        <w:rPr>
          <w:sz w:val="24"/>
        </w:rPr>
        <w:fldChar w:fldCharType="end"/>
      </w:r>
      <w:r w:rsidRPr="00622824">
        <w:rPr>
          <w:sz w:val="24"/>
        </w:rPr>
        <w:t xml:space="preserve">. Recent frameworks make use of Grad-CAM (Gradient-weighted Class Activation Mapping) to give visual explanations for the process </w:t>
      </w:r>
      <w:r w:rsidRPr="00862539">
        <w:rPr>
          <w:sz w:val="24"/>
        </w:rPr>
        <w:fldChar w:fldCharType="begin"/>
      </w:r>
      <w:r w:rsidRPr="00862539">
        <w:rPr>
          <w:sz w:val="24"/>
        </w:rPr>
        <w:instrText xml:space="preserve"> ADDIN EN.CITE &lt;EndNote&gt;&lt;Cite&gt;&lt;Author&gt;Selvaraju&lt;/Author&gt;&lt;Year&gt;2017&lt;/Year&gt;&lt;RecNum&gt;41&lt;/RecNum&gt;&lt;DisplayText&gt;[10]&lt;/DisplayText&gt;&lt;record&gt;&lt;rec-number&gt;41&lt;/rec-number&gt;&lt;foreign-keys&gt;&lt;key app="EN" db-id="xadwfw0wa2p00ae2025p025yz5r2d20a2szf" timestamp="1777609311"&gt;41&lt;/key&gt;&lt;/foreign-keys&gt;&lt;ref-type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Pr="00862539">
        <w:rPr>
          <w:sz w:val="24"/>
        </w:rPr>
        <w:fldChar w:fldCharType="separate"/>
      </w:r>
      <w:r w:rsidRPr="00862539">
        <w:rPr>
          <w:sz w:val="24"/>
        </w:rPr>
        <w:t>[10]</w:t>
      </w:r>
      <w:r w:rsidRPr="00862539">
        <w:rPr>
          <w:sz w:val="24"/>
        </w:rPr>
        <w:fldChar w:fldCharType="end"/>
      </w:r>
      <w:r w:rsidRPr="00622824">
        <w:rPr>
          <w:sz w:val="24"/>
        </w:rPr>
        <w:t>. Recent SOTA research clearly indicates the improvement in the</w:t>
      </w:r>
      <w:bookmarkStart w:id="0" w:name="_GoBack"/>
      <w:bookmarkEnd w:id="0"/>
      <w:r w:rsidRPr="00622824">
        <w:rPr>
          <w:sz w:val="24"/>
        </w:rPr>
        <w:t xml:space="preserve"> performance and reliability of automated systems through the use of ensembles and tools like Grad-CAM. Nevertheless, the combination of all these features in a cohesive diagnostic pipeline demands a robust data-processing and validation system. The following section discusses the methodology adopted in this paper, covering the data acquisition process, the improvements made on the framework, and finally the evaluation metrics used to ensure accuracy."</w:t>
      </w:r>
    </w:p>
    <w:p w:rsidR="004459E2" w:rsidRPr="004459E2" w:rsidRDefault="004459E2" w:rsidP="004459E2">
      <w:pPr>
        <w:jc w:val="both"/>
        <w:rPr>
          <w:b/>
          <w:sz w:val="24"/>
        </w:rPr>
      </w:pPr>
      <w:r w:rsidRPr="004459E2">
        <w:rPr>
          <w:b/>
          <w:sz w:val="24"/>
        </w:rPr>
        <w:t>Proposed Methodology</w:t>
      </w:r>
    </w:p>
    <w:p w:rsidR="00622824" w:rsidRDefault="00622824" w:rsidP="004459E2">
      <w:pPr>
        <w:jc w:val="both"/>
        <w:rPr>
          <w:sz w:val="24"/>
        </w:rPr>
      </w:pPr>
      <w:r w:rsidRPr="00622824">
        <w:rPr>
          <w:sz w:val="24"/>
        </w:rPr>
        <w:t>The proposed network architecture is founded on the concept of Transfer Learning using MobileNetV2 as a reliable feature extractor. The proposed network architecture is depicted in Figure 1, where MobileNetV2 is trained on ImageNet to provide a variety of learned features, including edges and more sophisticated shapes, thus enabling the system to make use of all the acquired features. In order to protect the learned weights in the initial phase of training when the model learns specifics for the bone fractures, it makes sense to freeze the model. Thus, the value of the attribute 'trainable' is set to False. After that, a classifier is added to the existing model. First of all, the network undergoes global average pooling, where spatial dimensions are compressed into one vector to reduce the amount of weights and avoid overfitting.</w:t>
      </w:r>
      <w:r w:rsidR="009C27C1">
        <w:rPr>
          <w:sz w:val="24"/>
        </w:rPr>
        <w:t xml:space="preserve"> </w:t>
      </w:r>
      <w:r w:rsidR="009C27C1" w:rsidRPr="009C27C1">
        <w:rPr>
          <w:sz w:val="24"/>
        </w:rPr>
        <w:t>The result obtained from above is further fed into a Fully Connected Dense Layer that comprises 128 nodes and uses ReLU (Rectified Linear Unit) as the activation function, making it able to undertake complicated nonlinear transformations of the extracted features. The final step involves feeding the data into the output Dense Layer that utilizes the Softmax activation function to compute the probabilities for the different bone fracture classes.</w:t>
      </w:r>
    </w:p>
    <w:p w:rsidR="00341E22" w:rsidRDefault="00341E22" w:rsidP="00341E22">
      <w:pPr>
        <w:jc w:val="center"/>
        <w:rPr>
          <w:sz w:val="24"/>
        </w:rPr>
      </w:pPr>
      <w:r>
        <w:rPr>
          <w:noProof/>
        </w:rPr>
        <w:drawing>
          <wp:inline distT="0" distB="0" distL="0" distR="0" wp14:anchorId="21EEC1A0" wp14:editId="7D5D4C04">
            <wp:extent cx="5628201" cy="212810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0378" cy="2162961"/>
                    </a:xfrm>
                    <a:prstGeom prst="rect">
                      <a:avLst/>
                    </a:prstGeom>
                  </pic:spPr>
                </pic:pic>
              </a:graphicData>
            </a:graphic>
          </wp:inline>
        </w:drawing>
      </w:r>
    </w:p>
    <w:p w:rsidR="00341E22" w:rsidRDefault="00341E22" w:rsidP="00341E22">
      <w:pPr>
        <w:jc w:val="center"/>
        <w:rPr>
          <w:sz w:val="24"/>
        </w:rPr>
      </w:pPr>
      <w:r>
        <w:rPr>
          <w:sz w:val="24"/>
        </w:rPr>
        <w:t>FIGURE:1: Proposed Network Methodology</w:t>
      </w:r>
    </w:p>
    <w:p w:rsidR="001B2E90" w:rsidRPr="00FB7B07" w:rsidRDefault="001B2E90" w:rsidP="004459E2">
      <w:pPr>
        <w:jc w:val="both"/>
        <w:rPr>
          <w:b/>
          <w:sz w:val="24"/>
        </w:rPr>
      </w:pPr>
      <w:r w:rsidRPr="00FB7B07">
        <w:rPr>
          <w:b/>
          <w:sz w:val="24"/>
        </w:rPr>
        <w:lastRenderedPageBreak/>
        <w:t>Training and Testing Dataset</w:t>
      </w:r>
    </w:p>
    <w:p w:rsidR="009C27C1" w:rsidRDefault="009C27C1" w:rsidP="001B2E90">
      <w:pPr>
        <w:jc w:val="both"/>
        <w:rPr>
          <w:sz w:val="24"/>
        </w:rPr>
      </w:pPr>
      <w:r w:rsidRPr="009C27C1">
        <w:rPr>
          <w:sz w:val="24"/>
        </w:rPr>
        <w:t>Bone Fracture Dataset tibia &amp; fibula is an exceptional dataset used to enhance machine learning research in orthopedic radiology and clinical decision making. This dataset is acquired via the University of Gondar Referral Hospital in Ethiopia and publicly available resources such as MURA (Musculoskeletal Radiographs) dataset, which is 319 MB in size. The images included in this dataset are mostly in PNG format and some have been validated by medical professionals to confirm that the images are accurate in diagnosing fractures. The creation of this particular dataset was based on an established process of design science that entails gathering and enhancing the image samples collected. To increase the level of usability of the images for deep learning algorithms, filtering processes such as median, Gaussian, mean and max were employed, and the images evaluated using various performance criteria such as Peak Signal-to-Noise Ratio (PSNR), Mean Squared Error (MSE), Structural Similarity Index (SSIM), and Cosine Similarity among others.</w:t>
      </w:r>
      <w:r>
        <w:rPr>
          <w:sz w:val="24"/>
        </w:rPr>
        <w:t xml:space="preserve"> </w:t>
      </w:r>
      <w:r w:rsidRPr="009C27C1">
        <w:rPr>
          <w:sz w:val="24"/>
        </w:rPr>
        <w:t xml:space="preserve">Moreover, the images underwent analysis with the help of segmentation and data augmentation techniques. In case of the classification task, the datasets allow implementing various approaches, such as using CNN for automatic feature extraction, along with machine learning approaches that include SVM, RF, and </w:t>
      </w:r>
      <w:proofErr w:type="spellStart"/>
      <w:r w:rsidRPr="009C27C1">
        <w:rPr>
          <w:sz w:val="24"/>
        </w:rPr>
        <w:t>AdaBoost</w:t>
      </w:r>
      <w:proofErr w:type="spellEnd"/>
      <w:r w:rsidRPr="009C27C1">
        <w:rPr>
          <w:sz w:val="24"/>
        </w:rPr>
        <w:t>. Usually, it is used in the ratio of 80/20 between train and test sets. This resource can be helpful in the development and evaluation of models for detecting fractures in the bones of lower limbs. It is licensed under Creative Commons Attribution 4.0 International License and thus can be openly used by researchers all around the world.</w:t>
      </w:r>
    </w:p>
    <w:p w:rsidR="00542EBC" w:rsidRDefault="00542EBC" w:rsidP="004459E2">
      <w:pPr>
        <w:jc w:val="both"/>
        <w:rPr>
          <w:sz w:val="24"/>
        </w:rPr>
      </w:pPr>
    </w:p>
    <w:p w:rsidR="00542EBC" w:rsidRDefault="00542EBC" w:rsidP="004459E2">
      <w:pPr>
        <w:jc w:val="both"/>
        <w:rPr>
          <w:sz w:val="24"/>
        </w:rPr>
      </w:pPr>
    </w:p>
    <w:p w:rsidR="00542EBC" w:rsidRDefault="00542EBC" w:rsidP="00542EBC">
      <w:pPr>
        <w:jc w:val="center"/>
        <w:rPr>
          <w:sz w:val="24"/>
        </w:rPr>
      </w:pPr>
      <w:r>
        <w:rPr>
          <w:noProof/>
        </w:rPr>
        <w:drawing>
          <wp:inline distT="0" distB="0" distL="0" distR="0" wp14:anchorId="0126B673" wp14:editId="002AB5BD">
            <wp:extent cx="5733415" cy="180848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808480"/>
                    </a:xfrm>
                    <a:prstGeom prst="rect">
                      <a:avLst/>
                    </a:prstGeom>
                  </pic:spPr>
                </pic:pic>
              </a:graphicData>
            </a:graphic>
          </wp:inline>
        </w:drawing>
      </w:r>
    </w:p>
    <w:p w:rsidR="009C27C1" w:rsidRDefault="009C27C1" w:rsidP="00542EBC">
      <w:pPr>
        <w:jc w:val="center"/>
        <w:rPr>
          <w:sz w:val="24"/>
        </w:rPr>
      </w:pPr>
    </w:p>
    <w:p w:rsidR="009C27C1" w:rsidRDefault="009C27C1" w:rsidP="009C27C1">
      <w:pPr>
        <w:jc w:val="both"/>
        <w:rPr>
          <w:sz w:val="24"/>
        </w:rPr>
      </w:pPr>
      <w:r w:rsidRPr="009C27C1">
        <w:rPr>
          <w:sz w:val="24"/>
        </w:rPr>
        <w:t>The performance of the classification algorithm can be evaluated using the learning curves showing that the training phase was very successful and possessed great abilities for generalization. As it follows from the graph with the model accuracy, the accuracy of both training and validation phases grows steadily, beginning at a rather high initial value of 92% and ending at a relatively high value close to 97% and 96%, respectively. It means that there is not a big gap between the values on the graph during ten epochs, so that the algorithm learns new features suitable for new pictures.</w:t>
      </w:r>
      <w:r>
        <w:rPr>
          <w:sz w:val="24"/>
        </w:rPr>
        <w:t xml:space="preserve"> </w:t>
      </w:r>
      <w:r w:rsidRPr="009C27C1">
        <w:rPr>
          <w:sz w:val="24"/>
        </w:rPr>
        <w:t xml:space="preserve">This is further supported by the model loss graph showing a consistent fall in error rates for both data sets, with the training loss falling sharply from about 0.25 to less than 0.10, whereas the validation loss falls in sync with no sign </w:t>
      </w:r>
      <w:r w:rsidRPr="009C27C1">
        <w:rPr>
          <w:sz w:val="24"/>
        </w:rPr>
        <w:lastRenderedPageBreak/>
        <w:t>of divergence. The consistency in the fall of losses combined with the stability in accuracy towards the end demonstrates the optimality of the model’s convergence. All in all, the lack of divergence between the two shows that the transfer learning technique using the frozen MobileNetV2 model works excellently to detect bone fractures accurately.</w:t>
      </w:r>
    </w:p>
    <w:p w:rsidR="0027373B" w:rsidRDefault="0027373B" w:rsidP="00542EBC">
      <w:pPr>
        <w:jc w:val="both"/>
        <w:rPr>
          <w:sz w:val="24"/>
        </w:rPr>
      </w:pPr>
      <w:r>
        <w:rPr>
          <w:noProof/>
          <w:sz w:val="24"/>
        </w:rPr>
        <w:drawing>
          <wp:inline distT="0" distB="0" distL="0" distR="0">
            <wp:extent cx="5056642" cy="44805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056642" cy="4480569"/>
                    </a:xfrm>
                    <a:prstGeom prst="rect">
                      <a:avLst/>
                    </a:prstGeom>
                  </pic:spPr>
                </pic:pic>
              </a:graphicData>
            </a:graphic>
          </wp:inline>
        </w:drawing>
      </w:r>
    </w:p>
    <w:p w:rsidR="0027373B" w:rsidRDefault="009C27C1" w:rsidP="0027373B">
      <w:pPr>
        <w:pStyle w:val="NormalWeb"/>
        <w:jc w:val="both"/>
        <w:rPr>
          <w:rFonts w:asciiTheme="minorHAnsi" w:eastAsiaTheme="minorHAnsi" w:hAnsiTheme="minorHAnsi" w:cstheme="minorBidi"/>
          <w:szCs w:val="22"/>
        </w:rPr>
      </w:pPr>
      <w:r w:rsidRPr="009C27C1">
        <w:rPr>
          <w:rFonts w:asciiTheme="minorHAnsi" w:eastAsiaTheme="minorHAnsi" w:hAnsiTheme="minorHAnsi" w:cstheme="minorBidi"/>
          <w:szCs w:val="22"/>
        </w:rPr>
        <w:t xml:space="preserve">Indeed, the confusion matrix helped make an accurate assessment of how reliable and effective the developed model is by comparing the actual classification with the predicted one for such states as "fractured" and "normal." As can be seen from the diagram, the developed model demonstrates a very high reliability due to the high density of the main diagonal values, which are the values that represent the correct classification by the algorithm. In other words, the machine learning algorithm correctly classified 457 pictures with a fracture and 436 pictures with no fracture, meaning it perfectly distinguishes between both situations. Apart from the high number of correct classifications, there were only 23 examples of missed fractures (False Negative classification) and 13 cases where normal bones were misclassified as broken bones (False Positive classification). This low number of false-positive results plays a vital role in making an assessment of clinical safety because it shows that the model is very sensitive and will most likely not miss any injury. Thus, it can be </w:t>
      </w:r>
      <w:r w:rsidRPr="009C27C1">
        <w:rPr>
          <w:rFonts w:asciiTheme="minorHAnsi" w:eastAsiaTheme="minorHAnsi" w:hAnsiTheme="minorHAnsi" w:cstheme="minorBidi"/>
          <w:szCs w:val="22"/>
        </w:rPr>
        <w:lastRenderedPageBreak/>
        <w:t>concluded that transfer learning based on MobileNetV2 worked perfectly.</w:t>
      </w:r>
      <w:r w:rsidR="0027373B">
        <w:rPr>
          <w:rFonts w:asciiTheme="minorHAnsi" w:eastAsiaTheme="minorHAnsi" w:hAnsiTheme="minorHAnsi" w:cstheme="minorBidi"/>
          <w:noProof/>
          <w:szCs w:val="22"/>
        </w:rPr>
        <w:drawing>
          <wp:inline distT="0" distB="0" distL="0" distR="0">
            <wp:extent cx="5733415" cy="395224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8">
                      <a:extLst>
                        <a:ext uri="{28A0092B-C50C-407E-A947-70E740481C1C}">
                          <a14:useLocalDpi xmlns:a14="http://schemas.microsoft.com/office/drawing/2010/main" val="0"/>
                        </a:ext>
                      </a:extLst>
                    </a:blip>
                    <a:stretch>
                      <a:fillRect/>
                    </a:stretch>
                  </pic:blipFill>
                  <pic:spPr>
                    <a:xfrm>
                      <a:off x="0" y="0"/>
                      <a:ext cx="5733415" cy="3952240"/>
                    </a:xfrm>
                    <a:prstGeom prst="rect">
                      <a:avLst/>
                    </a:prstGeom>
                  </pic:spPr>
                </pic:pic>
              </a:graphicData>
            </a:graphic>
          </wp:inline>
        </w:drawing>
      </w:r>
    </w:p>
    <w:p w:rsidR="009C27C1" w:rsidRDefault="009C27C1" w:rsidP="006904EC">
      <w:pPr>
        <w:pStyle w:val="NormalWeb"/>
        <w:jc w:val="both"/>
        <w:rPr>
          <w:rFonts w:asciiTheme="minorHAnsi" w:eastAsiaTheme="minorHAnsi" w:hAnsiTheme="minorHAnsi" w:cstheme="minorBidi"/>
          <w:szCs w:val="22"/>
        </w:rPr>
      </w:pPr>
      <w:r w:rsidRPr="009C27C1">
        <w:rPr>
          <w:rFonts w:asciiTheme="minorHAnsi" w:eastAsiaTheme="minorHAnsi" w:hAnsiTheme="minorHAnsi" w:cstheme="minorBidi"/>
          <w:szCs w:val="22"/>
        </w:rPr>
        <w:t>An in-depth evaluation of the performance of the model is carried out using the classification report, which offers an analytical evaluation of the model’s efficiency on the basis of several statistical characteristics. Precision can be used as an indicator of how precise the model is, i.e., how often it predicts correctly when stating that there is an injury – thus, it has to be as high as possible for the class 'Fracture' because it minimizes 'false alarms'. At the same time, the recall characteristic, otherwise known as sensitivity, determines how often the model correctly recognizes true positives. In other words, the high value of the recall for the class of interest shows that most of the cases of fractures will be identified by the model without producing false negative results.</w:t>
      </w:r>
      <w:r>
        <w:rPr>
          <w:rFonts w:asciiTheme="minorHAnsi" w:eastAsiaTheme="minorHAnsi" w:hAnsiTheme="minorHAnsi" w:cstheme="minorBidi"/>
          <w:szCs w:val="22"/>
        </w:rPr>
        <w:t xml:space="preserve"> </w:t>
      </w:r>
      <w:r w:rsidRPr="009C27C1">
        <w:rPr>
          <w:rFonts w:asciiTheme="minorHAnsi" w:eastAsiaTheme="minorHAnsi" w:hAnsiTheme="minorHAnsi" w:cstheme="minorBidi"/>
          <w:szCs w:val="22"/>
        </w:rPr>
        <w:t>The Accuracy score that amounts to about 96% indicates a highly successful performance in the whole data set used for validation purposes. In addition, the macro-average provides the unweighted mean of precision, recall, and the F1-score with both classes being treated equally important. This indicates that the model has been trained well and does not favor any particular class during classification tasks. Altogether, the results show that the use of the MobileNetV2 architecture is statistically significant, and the model has been optimized for the task of identifying healthy and broken bones.</w:t>
      </w:r>
    </w:p>
    <w:p w:rsidR="001B2E90" w:rsidRDefault="001B2E90" w:rsidP="001B2E90">
      <w:pPr>
        <w:pStyle w:val="NormalWeb"/>
        <w:jc w:val="center"/>
        <w:rPr>
          <w:rFonts w:asciiTheme="minorHAnsi" w:eastAsiaTheme="minorHAnsi" w:hAnsiTheme="minorHAnsi" w:cstheme="minorBidi"/>
          <w:szCs w:val="22"/>
        </w:rPr>
      </w:pPr>
      <w:r>
        <w:rPr>
          <w:noProof/>
        </w:rPr>
        <w:lastRenderedPageBreak/>
        <w:drawing>
          <wp:inline distT="0" distB="0" distL="0" distR="0" wp14:anchorId="59AFD85D" wp14:editId="1AC37E12">
            <wp:extent cx="5733415" cy="1905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905000"/>
                    </a:xfrm>
                    <a:prstGeom prst="rect">
                      <a:avLst/>
                    </a:prstGeom>
                  </pic:spPr>
                </pic:pic>
              </a:graphicData>
            </a:graphic>
          </wp:inline>
        </w:drawing>
      </w:r>
    </w:p>
    <w:p w:rsidR="001B2E90" w:rsidRDefault="001B2E90" w:rsidP="001B2E90">
      <w:pPr>
        <w:pStyle w:val="NormalWeb"/>
        <w:jc w:val="center"/>
        <w:rPr>
          <w:rFonts w:asciiTheme="minorHAnsi" w:eastAsiaTheme="minorHAnsi" w:hAnsiTheme="minorHAnsi" w:cstheme="minorBidi"/>
          <w:szCs w:val="22"/>
        </w:rPr>
      </w:pPr>
      <w:r>
        <w:rPr>
          <w:noProof/>
        </w:rPr>
        <w:drawing>
          <wp:inline distT="0" distB="0" distL="0" distR="0" wp14:anchorId="1951629D" wp14:editId="3CB572EF">
            <wp:extent cx="5733415" cy="189420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894205"/>
                    </a:xfrm>
                    <a:prstGeom prst="rect">
                      <a:avLst/>
                    </a:prstGeom>
                  </pic:spPr>
                </pic:pic>
              </a:graphicData>
            </a:graphic>
          </wp:inline>
        </w:drawing>
      </w:r>
    </w:p>
    <w:p w:rsidR="001B2E90" w:rsidRDefault="001B2E90" w:rsidP="001B2E90">
      <w:pPr>
        <w:pStyle w:val="NormalWeb"/>
        <w:jc w:val="center"/>
        <w:rPr>
          <w:rFonts w:asciiTheme="minorHAnsi" w:eastAsiaTheme="minorHAnsi" w:hAnsiTheme="minorHAnsi" w:cstheme="minorBidi"/>
          <w:szCs w:val="22"/>
        </w:rPr>
      </w:pPr>
      <w:r>
        <w:rPr>
          <w:noProof/>
        </w:rPr>
        <w:drawing>
          <wp:inline distT="0" distB="0" distL="0" distR="0" wp14:anchorId="230EDF7E" wp14:editId="3EB13695">
            <wp:extent cx="5733415" cy="196151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961515"/>
                    </a:xfrm>
                    <a:prstGeom prst="rect">
                      <a:avLst/>
                    </a:prstGeom>
                  </pic:spPr>
                </pic:pic>
              </a:graphicData>
            </a:graphic>
          </wp:inline>
        </w:drawing>
      </w:r>
    </w:p>
    <w:p w:rsidR="001B2E90" w:rsidRDefault="001B2E90" w:rsidP="001B2E90">
      <w:pPr>
        <w:pStyle w:val="NormalWeb"/>
        <w:jc w:val="center"/>
        <w:rPr>
          <w:rFonts w:asciiTheme="minorHAnsi" w:eastAsiaTheme="minorHAnsi" w:hAnsiTheme="minorHAnsi" w:cstheme="minorBidi"/>
          <w:szCs w:val="22"/>
        </w:rPr>
      </w:pPr>
      <w:r>
        <w:rPr>
          <w:noProof/>
        </w:rPr>
        <w:drawing>
          <wp:inline distT="0" distB="0" distL="0" distR="0" wp14:anchorId="259BFF98" wp14:editId="6A252F86">
            <wp:extent cx="5733415" cy="1976120"/>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976120"/>
                    </a:xfrm>
                    <a:prstGeom prst="rect">
                      <a:avLst/>
                    </a:prstGeom>
                  </pic:spPr>
                </pic:pic>
              </a:graphicData>
            </a:graphic>
          </wp:inline>
        </w:drawing>
      </w:r>
    </w:p>
    <w:p w:rsidR="009C27C1" w:rsidRDefault="009C27C1" w:rsidP="001B2E90">
      <w:pPr>
        <w:pStyle w:val="NormalWeb"/>
        <w:jc w:val="center"/>
        <w:rPr>
          <w:rFonts w:asciiTheme="minorHAnsi" w:eastAsiaTheme="minorHAnsi" w:hAnsiTheme="minorHAnsi" w:cstheme="minorBidi"/>
          <w:szCs w:val="22"/>
        </w:rPr>
      </w:pPr>
    </w:p>
    <w:p w:rsidR="009C27C1" w:rsidRDefault="009C27C1" w:rsidP="009C27C1">
      <w:pPr>
        <w:pStyle w:val="NormalWeb"/>
        <w:jc w:val="both"/>
        <w:rPr>
          <w:rFonts w:asciiTheme="minorHAnsi" w:eastAsiaTheme="minorHAnsi" w:hAnsiTheme="minorHAnsi" w:cstheme="minorBidi"/>
          <w:szCs w:val="22"/>
        </w:rPr>
      </w:pPr>
      <w:r w:rsidRPr="009C27C1">
        <w:rPr>
          <w:rFonts w:asciiTheme="minorHAnsi" w:eastAsiaTheme="minorHAnsi" w:hAnsiTheme="minorHAnsi" w:cstheme="minorBidi"/>
          <w:szCs w:val="22"/>
        </w:rPr>
        <w:lastRenderedPageBreak/>
        <w:t>The above-mentioned images explain how the MobileNetV2 classifier arrives at its conclusions. Whereas conventional deep learning algorithms operate like "black boxes," the aforementioned illustrations show precisely which pixels, or "</w:t>
      </w:r>
      <w:proofErr w:type="spellStart"/>
      <w:r w:rsidRPr="009C27C1">
        <w:rPr>
          <w:rFonts w:asciiTheme="minorHAnsi" w:eastAsiaTheme="minorHAnsi" w:hAnsiTheme="minorHAnsi" w:cstheme="minorBidi"/>
          <w:szCs w:val="22"/>
        </w:rPr>
        <w:t>superpixels</w:t>
      </w:r>
      <w:proofErr w:type="spellEnd"/>
      <w:r w:rsidRPr="009C27C1">
        <w:rPr>
          <w:rFonts w:asciiTheme="minorHAnsi" w:eastAsiaTheme="minorHAnsi" w:hAnsiTheme="minorHAnsi" w:cstheme="minorBidi"/>
          <w:szCs w:val="22"/>
        </w:rPr>
        <w:t>," the algorithm uses when determining whether an image is classified as "Fractured" or "Normal." For images marked as "Fractured," the borders of the images are emphasized, drawing attention to specific regions where structural continuity does not exist or bone density drastically changes. The colored regions represent the portions of the image that aided in making the "Fractured" diagnosis. Focusing only on the localized fractures or disruptions, the image proves that the classifier is using accurate clinical evidence instead of irrelevant factors.</w:t>
      </w:r>
      <w:r>
        <w:rPr>
          <w:rFonts w:asciiTheme="minorHAnsi" w:eastAsiaTheme="minorHAnsi" w:hAnsiTheme="minorHAnsi" w:cstheme="minorBidi"/>
          <w:szCs w:val="22"/>
        </w:rPr>
        <w:t xml:space="preserve"> </w:t>
      </w:r>
      <w:r w:rsidRPr="009C27C1">
        <w:rPr>
          <w:rFonts w:asciiTheme="minorHAnsi" w:eastAsiaTheme="minorHAnsi" w:hAnsiTheme="minorHAnsi" w:cstheme="minorBidi"/>
          <w:szCs w:val="22"/>
        </w:rPr>
        <w:t>Such correspondence between the focus of the algorithm and the true abnormalities present in the anatomy is critical in building credibility within such an automated diagnosis system. It should be noted that the outlined super pixels correspond to an anatomically accurate alignment, indicating that the algorithm recognizes the lack of fractures as the most critical determinant of a healthy bone. This becomes especially important from a practical perspective, as it allows doctors to visually verify all predictions based on the biological significance of the model's accuracy rate of 96%.</w:t>
      </w:r>
    </w:p>
    <w:p w:rsidR="001B2E90" w:rsidRPr="0027373B" w:rsidRDefault="001B2E90" w:rsidP="006904EC">
      <w:pPr>
        <w:pStyle w:val="NormalWeb"/>
        <w:jc w:val="both"/>
        <w:rPr>
          <w:rFonts w:asciiTheme="minorHAnsi" w:eastAsiaTheme="minorHAnsi" w:hAnsiTheme="minorHAnsi" w:cstheme="minorBidi"/>
          <w:szCs w:val="22"/>
        </w:rPr>
      </w:pPr>
    </w:p>
    <w:p w:rsidR="009C27C1" w:rsidRPr="009C27C1" w:rsidRDefault="009C27C1" w:rsidP="009C27C1">
      <w:pPr>
        <w:jc w:val="both"/>
        <w:rPr>
          <w:sz w:val="24"/>
        </w:rPr>
      </w:pPr>
      <w:r w:rsidRPr="009C27C1">
        <w:rPr>
          <w:sz w:val="24"/>
        </w:rPr>
        <w:t>Conclusion</w:t>
      </w:r>
    </w:p>
    <w:p w:rsidR="009C27C1" w:rsidRPr="009C27C1" w:rsidRDefault="009C27C1" w:rsidP="009C27C1">
      <w:pPr>
        <w:jc w:val="both"/>
        <w:rPr>
          <w:sz w:val="24"/>
        </w:rPr>
      </w:pPr>
      <w:r w:rsidRPr="009C27C1">
        <w:rPr>
          <w:sz w:val="24"/>
        </w:rPr>
        <w:t>In conclusion, this research clearly proves that a lightweight framework based on transfer learning can be used for detecting tibia and fibula fractures automatically. Using a frozen MobileNetV2 network as a backbone, researchers could achieve an outstanding validation accuracy of 96% while decreasing the complexity usually connected with deep neural networks' models. It was critical for the results to use several pre-processing approaches like median filtering and Gaussian smoothing due to their effect on improving image quality and feature extraction efficiency, according to PSNR and SSIM.</w:t>
      </w:r>
    </w:p>
    <w:p w:rsidR="009C27C1" w:rsidRPr="009C27C1" w:rsidRDefault="009C27C1" w:rsidP="009C27C1">
      <w:pPr>
        <w:jc w:val="both"/>
        <w:rPr>
          <w:sz w:val="24"/>
        </w:rPr>
      </w:pPr>
    </w:p>
    <w:p w:rsidR="00D7102E" w:rsidRDefault="009C27C1" w:rsidP="009C27C1">
      <w:pPr>
        <w:jc w:val="both"/>
        <w:rPr>
          <w:sz w:val="24"/>
        </w:rPr>
      </w:pPr>
      <w:r w:rsidRPr="009C27C1">
        <w:rPr>
          <w:sz w:val="24"/>
        </w:rPr>
        <w:t>Apart from purely statistical aspects, the application of visual explanation techniques helped to solve the problem of a "black box." In particular, the ability to detect structural discontinuity and bone density changes in the same way as physicians does during diagnosis shows the usefulness of this approach. The model has only 23 false-negative and 13 false-positive cases, which indicates its high sensitivity. Therefore, it can be effectively used as a decision-supporting system for portable</w:t>
      </w:r>
      <w:r>
        <w:rPr>
          <w:sz w:val="24"/>
        </w:rPr>
        <w:t xml:space="preserve"> medical equipment.</w:t>
      </w:r>
    </w:p>
    <w:p w:rsidR="009C27C1" w:rsidRDefault="009C27C1" w:rsidP="009C27C1">
      <w:pPr>
        <w:jc w:val="both"/>
        <w:rPr>
          <w:b/>
          <w:sz w:val="24"/>
        </w:rPr>
      </w:pPr>
      <w:r>
        <w:rPr>
          <w:b/>
          <w:sz w:val="24"/>
        </w:rPr>
        <w:t>Acknowledgement</w:t>
      </w:r>
    </w:p>
    <w:p w:rsidR="009C27C1" w:rsidRDefault="009C27C1" w:rsidP="009C27C1">
      <w:pPr>
        <w:jc w:val="both"/>
        <w:rPr>
          <w:b/>
          <w:sz w:val="24"/>
        </w:rPr>
      </w:pPr>
    </w:p>
    <w:p w:rsidR="009C27C1" w:rsidRPr="009C27C1" w:rsidRDefault="009C27C1" w:rsidP="009C27C1">
      <w:pPr>
        <w:jc w:val="both"/>
        <w:rPr>
          <w:b/>
          <w:sz w:val="24"/>
        </w:rPr>
      </w:pPr>
      <w:r w:rsidRPr="009C27C1">
        <w:rPr>
          <w:b/>
          <w:sz w:val="24"/>
        </w:rPr>
        <w:t>References</w:t>
      </w:r>
    </w:p>
    <w:p w:rsidR="00D7102E" w:rsidRDefault="00D7102E" w:rsidP="00542EBC">
      <w:pPr>
        <w:jc w:val="both"/>
        <w:rPr>
          <w:sz w:val="24"/>
        </w:rPr>
      </w:pPr>
    </w:p>
    <w:p w:rsidR="00622824" w:rsidRPr="00622824" w:rsidRDefault="00D7102E" w:rsidP="00622824">
      <w:pPr>
        <w:pStyle w:val="EndNoteBibliography"/>
        <w:spacing w:after="0"/>
        <w:ind w:left="720" w:hanging="720"/>
      </w:pPr>
      <w:r>
        <w:rPr>
          <w:sz w:val="24"/>
        </w:rPr>
        <w:fldChar w:fldCharType="begin"/>
      </w:r>
      <w:r>
        <w:rPr>
          <w:sz w:val="24"/>
        </w:rPr>
        <w:instrText xml:space="preserve"> ADDIN EN.REFLIST </w:instrText>
      </w:r>
      <w:r>
        <w:rPr>
          <w:sz w:val="24"/>
        </w:rPr>
        <w:fldChar w:fldCharType="separate"/>
      </w:r>
      <w:r w:rsidR="00622824" w:rsidRPr="00622824">
        <w:t>1.</w:t>
      </w:r>
      <w:r w:rsidR="00622824" w:rsidRPr="00622824">
        <w:tab/>
        <w:t xml:space="preserve">Kubicek, J., et al., </w:t>
      </w:r>
      <w:r w:rsidR="00622824" w:rsidRPr="00622824">
        <w:rPr>
          <w:i/>
        </w:rPr>
        <w:t>Recent trends, technical concepts and components of computer-assisted orthopedic surgery systems: a comprehensive review.</w:t>
      </w:r>
      <w:r w:rsidR="00622824" w:rsidRPr="00622824">
        <w:t xml:space="preserve"> Sensors, 2019. </w:t>
      </w:r>
      <w:r w:rsidR="00622824" w:rsidRPr="00622824">
        <w:rPr>
          <w:b/>
        </w:rPr>
        <w:t>19</w:t>
      </w:r>
      <w:r w:rsidR="00622824" w:rsidRPr="00622824">
        <w:t>(23): p. 5199.</w:t>
      </w:r>
    </w:p>
    <w:p w:rsidR="00622824" w:rsidRPr="00622824" w:rsidRDefault="00622824" w:rsidP="00622824">
      <w:pPr>
        <w:pStyle w:val="EndNoteBibliography"/>
        <w:spacing w:after="0"/>
        <w:ind w:left="720" w:hanging="720"/>
      </w:pPr>
      <w:r w:rsidRPr="00622824">
        <w:t>2.</w:t>
      </w:r>
      <w:r w:rsidRPr="00622824">
        <w:tab/>
        <w:t xml:space="preserve">Cheng, P.M., et al., </w:t>
      </w:r>
      <w:r w:rsidRPr="00622824">
        <w:rPr>
          <w:i/>
        </w:rPr>
        <w:t>Deep learning: an update for radiologists.</w:t>
      </w:r>
      <w:r w:rsidRPr="00622824">
        <w:t xml:space="preserve"> Radiographics, 2021. </w:t>
      </w:r>
      <w:r w:rsidRPr="00622824">
        <w:rPr>
          <w:b/>
        </w:rPr>
        <w:t>41</w:t>
      </w:r>
      <w:r w:rsidRPr="00622824">
        <w:t>(5): p. 1427-1445.</w:t>
      </w:r>
    </w:p>
    <w:p w:rsidR="00622824" w:rsidRPr="00622824" w:rsidRDefault="00622824" w:rsidP="00622824">
      <w:pPr>
        <w:pStyle w:val="EndNoteBibliography"/>
        <w:spacing w:after="0"/>
        <w:ind w:left="720" w:hanging="720"/>
      </w:pPr>
      <w:r w:rsidRPr="00622824">
        <w:lastRenderedPageBreak/>
        <w:t>3.</w:t>
      </w:r>
      <w:r w:rsidRPr="00622824">
        <w:tab/>
        <w:t xml:space="preserve">Naseem, M.T., et al., </w:t>
      </w:r>
      <w:r w:rsidRPr="00622824">
        <w:rPr>
          <w:i/>
        </w:rPr>
        <w:t>Facial expression recognition using visible and IR by early fusion of deep learning with attention mechanism.</w:t>
      </w:r>
      <w:r w:rsidRPr="00622824">
        <w:t xml:space="preserve"> PeerJ Computer Science, 2025. </w:t>
      </w:r>
      <w:r w:rsidRPr="00622824">
        <w:rPr>
          <w:b/>
        </w:rPr>
        <w:t>11</w:t>
      </w:r>
      <w:r w:rsidRPr="00622824">
        <w:t>: p. e2676.</w:t>
      </w:r>
    </w:p>
    <w:p w:rsidR="00622824" w:rsidRPr="00622824" w:rsidRDefault="00622824" w:rsidP="00622824">
      <w:pPr>
        <w:pStyle w:val="EndNoteBibliography"/>
        <w:spacing w:after="0"/>
        <w:ind w:left="720" w:hanging="720"/>
      </w:pPr>
      <w:r w:rsidRPr="00622824">
        <w:t>4.</w:t>
      </w:r>
      <w:r w:rsidRPr="00622824">
        <w:tab/>
        <w:t xml:space="preserve">Scutelnicu, L.-A., N. Forna, and M. Luca, </w:t>
      </w:r>
      <w:r w:rsidRPr="00622824">
        <w:rPr>
          <w:i/>
        </w:rPr>
        <w:t>An overview of techniques for automatic detection of bone fractures.</w:t>
      </w:r>
      <w:r w:rsidRPr="00622824">
        <w:t xml:space="preserve"> Procedia Computer Science, 2025. </w:t>
      </w:r>
      <w:r w:rsidRPr="00622824">
        <w:rPr>
          <w:b/>
        </w:rPr>
        <w:t>270</w:t>
      </w:r>
      <w:r w:rsidRPr="00622824">
        <w:t>: p. 1557-1567.</w:t>
      </w:r>
    </w:p>
    <w:p w:rsidR="00622824" w:rsidRPr="00622824" w:rsidRDefault="00622824" w:rsidP="00622824">
      <w:pPr>
        <w:pStyle w:val="EndNoteBibliography"/>
        <w:spacing w:after="0"/>
        <w:ind w:left="720" w:hanging="720"/>
      </w:pPr>
      <w:r w:rsidRPr="00622824">
        <w:t>5.</w:t>
      </w:r>
      <w:r w:rsidRPr="00622824">
        <w:tab/>
        <w:t xml:space="preserve">Rahujo, A., et al., </w:t>
      </w:r>
      <w:r w:rsidRPr="00622824">
        <w:rPr>
          <w:i/>
        </w:rPr>
        <w:t>A survey on the applications of transfer learning to enhance the performance of large language models in healthcare systems.</w:t>
      </w:r>
      <w:r w:rsidRPr="00622824">
        <w:t xml:space="preserve"> Discover Artificial Intelligence, 2025. </w:t>
      </w:r>
      <w:r w:rsidRPr="00622824">
        <w:rPr>
          <w:b/>
        </w:rPr>
        <w:t>5</w:t>
      </w:r>
      <w:r w:rsidRPr="00622824">
        <w:t>(1): p. 90.</w:t>
      </w:r>
    </w:p>
    <w:p w:rsidR="00622824" w:rsidRPr="00622824" w:rsidRDefault="00622824" w:rsidP="00622824">
      <w:pPr>
        <w:pStyle w:val="EndNoteBibliography"/>
        <w:spacing w:after="0"/>
        <w:ind w:left="720" w:hanging="720"/>
      </w:pPr>
      <w:r w:rsidRPr="00622824">
        <w:t>6.</w:t>
      </w:r>
      <w:r w:rsidRPr="00622824">
        <w:tab/>
        <w:t xml:space="preserve">Bhuria, R., et al., </w:t>
      </w:r>
      <w:r w:rsidRPr="00622824">
        <w:rPr>
          <w:i/>
        </w:rPr>
        <w:t>A transfer learning–based approach for automated bone fracture classification in X-ray imaging.</w:t>
      </w:r>
      <w:r w:rsidRPr="00622824">
        <w:t xml:space="preserve"> Therapeutic Advances in Musculoskeletal Disease, 2026. </w:t>
      </w:r>
      <w:r w:rsidRPr="00622824">
        <w:rPr>
          <w:b/>
        </w:rPr>
        <w:t>18</w:t>
      </w:r>
      <w:r w:rsidRPr="00622824">
        <w:t>: p. 1759720X251405099.</w:t>
      </w:r>
    </w:p>
    <w:p w:rsidR="00622824" w:rsidRPr="00622824" w:rsidRDefault="00622824" w:rsidP="00622824">
      <w:pPr>
        <w:pStyle w:val="EndNoteBibliography"/>
        <w:spacing w:after="0"/>
        <w:ind w:left="720" w:hanging="720"/>
      </w:pPr>
      <w:r w:rsidRPr="00622824">
        <w:t>7.</w:t>
      </w:r>
      <w:r w:rsidRPr="00622824">
        <w:tab/>
        <w:t xml:space="preserve">Taifi, K., et al., </w:t>
      </w:r>
      <w:r w:rsidRPr="00622824">
        <w:rPr>
          <w:i/>
        </w:rPr>
        <w:t>Enhanced dl-based breast cancer diagnosis and classification using modified densenet-121, densenet-201, and mobilenetv2: Optimized architectures and refined activation functions.</w:t>
      </w:r>
      <w:r w:rsidRPr="00622824">
        <w:t xml:space="preserve"> IEEE Access, 2025.</w:t>
      </w:r>
    </w:p>
    <w:p w:rsidR="00622824" w:rsidRPr="00622824" w:rsidRDefault="00622824" w:rsidP="00622824">
      <w:pPr>
        <w:pStyle w:val="EndNoteBibliography"/>
        <w:spacing w:after="0"/>
        <w:ind w:left="720" w:hanging="720"/>
      </w:pPr>
      <w:r w:rsidRPr="00622824">
        <w:t>8.</w:t>
      </w:r>
      <w:r w:rsidRPr="00622824">
        <w:tab/>
        <w:t xml:space="preserve">Mambile, C., J. Leo, and S. Kaijage, </w:t>
      </w:r>
      <w:r w:rsidRPr="00622824">
        <w:rPr>
          <w:i/>
        </w:rPr>
        <w:t>Comparative analysis of CNN architectures for satellite-based forest fire detection: A mobile-friendly approach using Sentinel-2 imagery.</w:t>
      </w:r>
      <w:r w:rsidRPr="00622824">
        <w:t xml:space="preserve"> Remote Sensing Applications: Society and Environment, 2025: p. 101739.</w:t>
      </w:r>
    </w:p>
    <w:p w:rsidR="00622824" w:rsidRPr="00622824" w:rsidRDefault="00622824" w:rsidP="00622824">
      <w:pPr>
        <w:pStyle w:val="EndNoteBibliography"/>
        <w:spacing w:after="0"/>
        <w:ind w:left="720" w:hanging="720"/>
      </w:pPr>
      <w:r w:rsidRPr="00622824">
        <w:t>9.</w:t>
      </w:r>
      <w:r w:rsidRPr="00622824">
        <w:tab/>
        <w:t xml:space="preserve">Alam, A., et al., </w:t>
      </w:r>
      <w:r w:rsidRPr="00622824">
        <w:rPr>
          <w:i/>
        </w:rPr>
        <w:t>Novel transfer learning based bone fracture detection using radiographic images.</w:t>
      </w:r>
      <w:r w:rsidRPr="00622824">
        <w:t xml:space="preserve"> BMC Medical Imaging, 2025. </w:t>
      </w:r>
      <w:r w:rsidRPr="00622824">
        <w:rPr>
          <w:b/>
        </w:rPr>
        <w:t>25</w:t>
      </w:r>
      <w:r w:rsidRPr="00622824">
        <w:t>(1): p. 5.</w:t>
      </w:r>
    </w:p>
    <w:p w:rsidR="00622824" w:rsidRPr="00622824" w:rsidRDefault="00622824" w:rsidP="00622824">
      <w:pPr>
        <w:pStyle w:val="EndNoteBibliography"/>
        <w:ind w:left="720" w:hanging="720"/>
      </w:pPr>
      <w:r w:rsidRPr="00622824">
        <w:t>10.</w:t>
      </w:r>
      <w:r w:rsidRPr="00622824">
        <w:tab/>
        <w:t xml:space="preserve">Selvaraju, R.R., et al. </w:t>
      </w:r>
      <w:r w:rsidRPr="00622824">
        <w:rPr>
          <w:i/>
        </w:rPr>
        <w:t>Grad-cam: Visual explanations from deep networks via gradient-based localization</w:t>
      </w:r>
      <w:r w:rsidRPr="00622824">
        <w:t xml:space="preserve">. in </w:t>
      </w:r>
      <w:r w:rsidRPr="00622824">
        <w:rPr>
          <w:i/>
        </w:rPr>
        <w:t>Proceedings of the IEEE international conference on computer vision</w:t>
      </w:r>
      <w:r w:rsidRPr="00622824">
        <w:t>. 2017.</w:t>
      </w:r>
    </w:p>
    <w:p w:rsidR="0027373B" w:rsidRPr="004459E2" w:rsidRDefault="00D7102E" w:rsidP="00542EBC">
      <w:pPr>
        <w:jc w:val="both"/>
        <w:rPr>
          <w:sz w:val="24"/>
        </w:rPr>
      </w:pPr>
      <w:r>
        <w:rPr>
          <w:sz w:val="24"/>
        </w:rPr>
        <w:fldChar w:fldCharType="end"/>
      </w:r>
    </w:p>
    <w:sectPr w:rsidR="0027373B" w:rsidRPr="004459E2" w:rsidSect="004459E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224EF"/>
    <w:multiLevelType w:val="multilevel"/>
    <w:tmpl w:val="3BD2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A51213"/>
    <w:multiLevelType w:val="multilevel"/>
    <w:tmpl w:val="2782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adwfw0wa2p00ae2025p025yz5r2d20a2szf&quot;&gt;My EndNote Library&lt;record-ids&gt;&lt;item&gt;32&lt;/item&gt;&lt;item&gt;33&lt;/item&gt;&lt;item&gt;34&lt;/item&gt;&lt;item&gt;35&lt;/item&gt;&lt;item&gt;36&lt;/item&gt;&lt;item&gt;37&lt;/item&gt;&lt;item&gt;38&lt;/item&gt;&lt;item&gt;39&lt;/item&gt;&lt;item&gt;40&lt;/item&gt;&lt;item&gt;41&lt;/item&gt;&lt;/record-ids&gt;&lt;/item&gt;&lt;/Libraries&gt;"/>
  </w:docVars>
  <w:rsids>
    <w:rsidRoot w:val="004459E2"/>
    <w:rsid w:val="0005404F"/>
    <w:rsid w:val="0015563A"/>
    <w:rsid w:val="001B2E90"/>
    <w:rsid w:val="0027373B"/>
    <w:rsid w:val="00341E22"/>
    <w:rsid w:val="003B4F3C"/>
    <w:rsid w:val="004459E2"/>
    <w:rsid w:val="00542EBC"/>
    <w:rsid w:val="00622824"/>
    <w:rsid w:val="006904EC"/>
    <w:rsid w:val="007B5B57"/>
    <w:rsid w:val="00862539"/>
    <w:rsid w:val="009B38A3"/>
    <w:rsid w:val="009C27C1"/>
    <w:rsid w:val="00C75A89"/>
    <w:rsid w:val="00C923CE"/>
    <w:rsid w:val="00CF5094"/>
    <w:rsid w:val="00D7102E"/>
    <w:rsid w:val="00EB6835"/>
    <w:rsid w:val="00FB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B8D6"/>
  <w15:chartTrackingRefBased/>
  <w15:docId w15:val="{9879130B-3758-425B-BB7C-AD4D8A4D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B4F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4459E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737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B4F3C"/>
    <w:rPr>
      <w:rFonts w:ascii="Times New Roman" w:eastAsia="Times New Roman" w:hAnsi="Times New Roman" w:cs="Times New Roman"/>
      <w:b/>
      <w:bCs/>
      <w:sz w:val="27"/>
      <w:szCs w:val="27"/>
    </w:rPr>
  </w:style>
  <w:style w:type="character" w:styleId="Strong">
    <w:name w:val="Strong"/>
    <w:basedOn w:val="DefaultParagraphFont"/>
    <w:uiPriority w:val="22"/>
    <w:qFormat/>
    <w:rsid w:val="003B4F3C"/>
    <w:rPr>
      <w:b/>
      <w:bCs/>
    </w:rPr>
  </w:style>
  <w:style w:type="paragraph" w:customStyle="1" w:styleId="EndNoteBibliographyTitle">
    <w:name w:val="EndNote Bibliography Title"/>
    <w:basedOn w:val="Normal"/>
    <w:link w:val="EndNoteBibliographyTitleChar"/>
    <w:rsid w:val="00D7102E"/>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D7102E"/>
    <w:rPr>
      <w:rFonts w:ascii="Calibri" w:hAnsi="Calibri" w:cs="Calibri"/>
      <w:noProof/>
    </w:rPr>
  </w:style>
  <w:style w:type="paragraph" w:customStyle="1" w:styleId="EndNoteBibliography">
    <w:name w:val="EndNote Bibliography"/>
    <w:basedOn w:val="Normal"/>
    <w:link w:val="EndNoteBibliographyChar"/>
    <w:rsid w:val="00D7102E"/>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D7102E"/>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453959">
      <w:bodyDiv w:val="1"/>
      <w:marLeft w:val="0"/>
      <w:marRight w:val="0"/>
      <w:marTop w:val="0"/>
      <w:marBottom w:val="0"/>
      <w:divBdr>
        <w:top w:val="none" w:sz="0" w:space="0" w:color="auto"/>
        <w:left w:val="none" w:sz="0" w:space="0" w:color="auto"/>
        <w:bottom w:val="none" w:sz="0" w:space="0" w:color="auto"/>
        <w:right w:val="none" w:sz="0" w:space="0" w:color="auto"/>
      </w:divBdr>
    </w:div>
    <w:div w:id="491676017">
      <w:bodyDiv w:val="1"/>
      <w:marLeft w:val="0"/>
      <w:marRight w:val="0"/>
      <w:marTop w:val="0"/>
      <w:marBottom w:val="0"/>
      <w:divBdr>
        <w:top w:val="none" w:sz="0" w:space="0" w:color="auto"/>
        <w:left w:val="none" w:sz="0" w:space="0" w:color="auto"/>
        <w:bottom w:val="none" w:sz="0" w:space="0" w:color="auto"/>
        <w:right w:val="none" w:sz="0" w:space="0" w:color="auto"/>
      </w:divBdr>
    </w:div>
    <w:div w:id="677538872">
      <w:bodyDiv w:val="1"/>
      <w:marLeft w:val="0"/>
      <w:marRight w:val="0"/>
      <w:marTop w:val="0"/>
      <w:marBottom w:val="0"/>
      <w:divBdr>
        <w:top w:val="none" w:sz="0" w:space="0" w:color="auto"/>
        <w:left w:val="none" w:sz="0" w:space="0" w:color="auto"/>
        <w:bottom w:val="none" w:sz="0" w:space="0" w:color="auto"/>
        <w:right w:val="none" w:sz="0" w:space="0" w:color="auto"/>
      </w:divBdr>
    </w:div>
    <w:div w:id="965088138">
      <w:bodyDiv w:val="1"/>
      <w:marLeft w:val="0"/>
      <w:marRight w:val="0"/>
      <w:marTop w:val="0"/>
      <w:marBottom w:val="0"/>
      <w:divBdr>
        <w:top w:val="none" w:sz="0" w:space="0" w:color="auto"/>
        <w:left w:val="none" w:sz="0" w:space="0" w:color="auto"/>
        <w:bottom w:val="none" w:sz="0" w:space="0" w:color="auto"/>
        <w:right w:val="none" w:sz="0" w:space="0" w:color="auto"/>
      </w:divBdr>
    </w:div>
    <w:div w:id="1272784800">
      <w:bodyDiv w:val="1"/>
      <w:marLeft w:val="0"/>
      <w:marRight w:val="0"/>
      <w:marTop w:val="0"/>
      <w:marBottom w:val="0"/>
      <w:divBdr>
        <w:top w:val="none" w:sz="0" w:space="0" w:color="auto"/>
        <w:left w:val="none" w:sz="0" w:space="0" w:color="auto"/>
        <w:bottom w:val="none" w:sz="0" w:space="0" w:color="auto"/>
        <w:right w:val="none" w:sz="0" w:space="0" w:color="auto"/>
      </w:divBdr>
    </w:div>
    <w:div w:id="1516188967">
      <w:bodyDiv w:val="1"/>
      <w:marLeft w:val="0"/>
      <w:marRight w:val="0"/>
      <w:marTop w:val="0"/>
      <w:marBottom w:val="0"/>
      <w:divBdr>
        <w:top w:val="none" w:sz="0" w:space="0" w:color="auto"/>
        <w:left w:val="none" w:sz="0" w:space="0" w:color="auto"/>
        <w:bottom w:val="none" w:sz="0" w:space="0" w:color="auto"/>
        <w:right w:val="none" w:sz="0" w:space="0" w:color="auto"/>
      </w:divBdr>
    </w:div>
    <w:div w:id="1916352795">
      <w:bodyDiv w:val="1"/>
      <w:marLeft w:val="0"/>
      <w:marRight w:val="0"/>
      <w:marTop w:val="0"/>
      <w:marBottom w:val="0"/>
      <w:divBdr>
        <w:top w:val="none" w:sz="0" w:space="0" w:color="auto"/>
        <w:left w:val="none" w:sz="0" w:space="0" w:color="auto"/>
        <w:bottom w:val="none" w:sz="0" w:space="0" w:color="auto"/>
        <w:right w:val="none" w:sz="0" w:space="0" w:color="auto"/>
      </w:divBdr>
    </w:div>
    <w:div w:id="207778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1</Pages>
  <Words>3790</Words>
  <Characters>21607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COMPUTER</dc:creator>
  <cp:keywords/>
  <dc:description/>
  <cp:lastModifiedBy>S.A COMPUTER</cp:lastModifiedBy>
  <cp:revision>7</cp:revision>
  <dcterms:created xsi:type="dcterms:W3CDTF">2026-04-27T09:38:00Z</dcterms:created>
  <dcterms:modified xsi:type="dcterms:W3CDTF">2026-05-01T20:11:00Z</dcterms:modified>
</cp:coreProperties>
</file>