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AE86" w14:textId="58B17B8A" w:rsidR="00BC27AB" w:rsidRDefault="00303D1A">
      <w:r>
        <w:t>Sinusoidal source supplying a load</w:t>
      </w:r>
    </w:p>
    <w:p w14:paraId="2BDD3B3F" w14:textId="4CEEF51C" w:rsidR="00303D1A" w:rsidRDefault="00303D1A">
      <w:r>
        <w:t>Let the instantaneous voltage be</w:t>
      </w:r>
    </w:p>
    <w:p w14:paraId="063E1DA6" w14:textId="315CEF76" w:rsidR="00303D1A" w:rsidRPr="002344A6" w:rsidRDefault="00303D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                           (1)</m:t>
          </m:r>
        </m:oMath>
      </m:oMathPara>
    </w:p>
    <w:p w14:paraId="555B4CCB" w14:textId="5C6CD815" w:rsidR="002344A6" w:rsidRDefault="002344A6">
      <w:pPr>
        <w:rPr>
          <w:rFonts w:eastAsiaTheme="minorEastAsia"/>
        </w:rPr>
      </w:pPr>
      <w:r>
        <w:rPr>
          <w:rFonts w:eastAsiaTheme="minorEastAsia"/>
        </w:rPr>
        <w:t>And the instantaneous current is given by</w:t>
      </w:r>
    </w:p>
    <w:p w14:paraId="72E97691" w14:textId="27A61370" w:rsidR="002344A6" w:rsidRPr="000D6804" w:rsidRDefault="002344A6" w:rsidP="002344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                           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294471DA" w14:textId="7491D03E" w:rsidR="000D6804" w:rsidRDefault="000D6804" w:rsidP="002344A6">
      <w:pPr>
        <w:rPr>
          <w:rFonts w:eastAsiaTheme="minorEastAsia"/>
        </w:rPr>
      </w:pPr>
      <w:r>
        <w:rPr>
          <w:rFonts w:eastAsiaTheme="minorEastAsia"/>
        </w:rPr>
        <w:t xml:space="preserve">The instantaneous power p(t) delivered to the load is the product of voltage v(t) and current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(t) is given by</w:t>
      </w:r>
    </w:p>
    <w:p w14:paraId="18EEC945" w14:textId="34AFE6C6" w:rsidR="000D6804" w:rsidRPr="002344A6" w:rsidRDefault="0068617F" w:rsidP="002344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=v(t)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 </m:t>
          </m:r>
        </m:oMath>
      </m:oMathPara>
    </w:p>
    <w:p w14:paraId="56AA815B" w14:textId="0EB9A890" w:rsidR="002344A6" w:rsidRPr="00D51DD3" w:rsidRDefault="006861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(3)</m:t>
          </m:r>
        </m:oMath>
      </m:oMathPara>
    </w:p>
    <w:p w14:paraId="4B82D346" w14:textId="62A3F446" w:rsidR="00D51DD3" w:rsidRPr="008943D5" w:rsidRDefault="00D51D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αcosβ=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(α+β)</m:t>
              </m:r>
            </m:e>
          </m:func>
          <m:r>
            <w:rPr>
              <w:rFonts w:ascii="Cambria Math" w:hAnsi="Cambria Math"/>
            </w:rPr>
            <m:t xml:space="preserve"> (4)</m:t>
          </m:r>
        </m:oMath>
      </m:oMathPara>
    </w:p>
    <w:p w14:paraId="24BEF107" w14:textId="77777777" w:rsidR="008943D5" w:rsidRPr="008943D5" w:rsidRDefault="008943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46DF0742" w14:textId="3AAAEDED" w:rsidR="008943D5" w:rsidRPr="008943D5" w:rsidRDefault="008943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ωt+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044213" w14:textId="3315C695" w:rsidR="00E21F82" w:rsidRDefault="00E21F82" w:rsidP="00E21F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cos(</m:t>
              </m:r>
              <m:r>
                <w:rPr>
                  <w:rFonts w:ascii="Cambria Math" w:hAnsi="Cambria Math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ωt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ωt+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71255453" w14:textId="3D82847C" w:rsidR="005F0B3D" w:rsidRPr="00B90DB3" w:rsidRDefault="00E21F82" w:rsidP="005F0B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3215912" w14:textId="68155D77" w:rsidR="00B90DB3" w:rsidRDefault="00B90DB3" w:rsidP="005F0B3D">
      <w:r>
        <w:rPr>
          <w:rFonts w:eastAsiaTheme="minorEastAsia"/>
        </w:rPr>
        <w:t xml:space="preserve">Add extra </w:t>
      </w:r>
      <m:oMath>
        <m:sSub>
          <m:sSubPr>
            <m:ctrlPr>
              <w:rPr>
                <w:rFonts w:ascii="Cambria Math" w:hAnsi="Cambria Math"/>
                <w:i/>
                <w:color w:val="7030A0"/>
              </w:rPr>
            </m:ctrlPr>
          </m:sSubPr>
          <m:e>
            <m:r>
              <w:rPr>
                <w:rFonts w:ascii="Cambria Math" w:hAnsi="Cambria Math"/>
                <w:color w:val="7030A0"/>
              </w:rPr>
              <m:t>θ</m:t>
            </m:r>
          </m:e>
          <m:sub>
            <m:r>
              <w:rPr>
                <w:rFonts w:ascii="Cambria Math" w:hAnsi="Cambria Math"/>
                <w:color w:val="7030A0"/>
              </w:rPr>
              <m:t>v</m:t>
            </m:r>
          </m:sub>
        </m:sSub>
      </m:oMath>
    </w:p>
    <w:p w14:paraId="4C8A4FD4" w14:textId="67ADDCB1" w:rsidR="005F0B3D" w:rsidRPr="00F55966" w:rsidRDefault="00E271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hAnsi="Cambria Math"/>
                      <w:color w:val="ED7D31" w:themeColor="accent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}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3F84F11" w14:textId="13D40B23" w:rsidR="00F55966" w:rsidRDefault="00F55966">
      <w:pPr>
        <w:rPr>
          <w:rFonts w:eastAsiaTheme="minorEastAsia"/>
        </w:rPr>
      </w:pPr>
    </w:p>
    <w:p w14:paraId="34D9B1E1" w14:textId="69C53C40" w:rsidR="00F55966" w:rsidRPr="00050899" w:rsidRDefault="00F5596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</w:rPr>
            <m:t>=cosαcosβ+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αsinβ</m:t>
              </m:r>
            </m:e>
          </m:func>
        </m:oMath>
      </m:oMathPara>
    </w:p>
    <w:p w14:paraId="4409ACD3" w14:textId="48684F74" w:rsidR="00F67B0A" w:rsidRPr="00F67B0A" w:rsidRDefault="00F67B0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14:paraId="4EA55BA9" w14:textId="0FF6DB97" w:rsidR="00050899" w:rsidRPr="0093532F" w:rsidRDefault="0005089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22509CB1" w14:textId="502EC725" w:rsidR="00EC092E" w:rsidRPr="00F55966" w:rsidRDefault="00EC092E" w:rsidP="00EC09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6CD03E1" w14:textId="55842679" w:rsidR="00B90DB3" w:rsidRPr="00D05246" w:rsidRDefault="00B90DB3" w:rsidP="00B90D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+sin2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081210B" w14:textId="0C1A8D7E" w:rsidR="00D05246" w:rsidRPr="00432572" w:rsidRDefault="00D05246" w:rsidP="00D052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+sin2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E6B5232" w14:textId="45002AC6" w:rsidR="00DC4711" w:rsidRPr="00432572" w:rsidRDefault="00DC4711" w:rsidP="00DC47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+sin2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9C4DC9A" w14:textId="77777777" w:rsidR="00D05246" w:rsidRPr="00432572" w:rsidRDefault="00D05246" w:rsidP="00B90DB3">
      <w:pPr>
        <w:rPr>
          <w:rFonts w:eastAsiaTheme="minorEastAsia"/>
        </w:rPr>
      </w:pPr>
    </w:p>
    <w:p w14:paraId="6FF4CF7A" w14:textId="06D85AA0" w:rsidR="00432572" w:rsidRDefault="00432572" w:rsidP="00B90DB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root </w:t>
      </w:r>
      <w:proofErr w:type="gramStart"/>
      <w:r>
        <w:rPr>
          <w:rFonts w:eastAsiaTheme="minorEastAsia"/>
        </w:rPr>
        <w:t>mean</w:t>
      </w:r>
      <w:proofErr w:type="gramEnd"/>
      <w:r>
        <w:rPr>
          <w:rFonts w:eastAsiaTheme="minorEastAsia"/>
        </w:rPr>
        <w:t xml:space="preserve"> square value of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is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271E25">
        <w:rPr>
          <w:rFonts w:eastAsiaTheme="minorEastAsia"/>
        </w:rPr>
        <w:t xml:space="preserve"> and</w:t>
      </w:r>
      <w:r w:rsidR="00DE028B">
        <w:rPr>
          <w:rFonts w:eastAsiaTheme="minorEastAsia"/>
        </w:rPr>
        <w:t xml:space="preserve"> root mean square value of </w:t>
      </w:r>
      <w:r w:rsidR="00271E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is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="00271E2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θ=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12194A36" w14:textId="6E49D997" w:rsidR="00954896" w:rsidRDefault="00954896" w:rsidP="00B90DB3">
      <w:pPr>
        <w:rPr>
          <w:rFonts w:eastAsiaTheme="minorEastAsia"/>
        </w:rPr>
      </w:pPr>
      <w:r>
        <w:rPr>
          <w:rFonts w:eastAsiaTheme="minorEastAsia"/>
        </w:rPr>
        <w:t>Now above equation written in terms of rms value is reduced to</w:t>
      </w:r>
    </w:p>
    <w:p w14:paraId="221B954A" w14:textId="579003C5" w:rsidR="00DC4711" w:rsidRPr="00432572" w:rsidRDefault="00DC4711" w:rsidP="00DC47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+sin2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48F744F" w14:textId="01DEEDE3" w:rsidR="00627331" w:rsidRPr="00432572" w:rsidRDefault="00627331" w:rsidP="006273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291D861" w14:textId="6A0826D2" w:rsidR="00081AC1" w:rsidRPr="002F3965" w:rsidRDefault="00081AC1" w:rsidP="00081A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sin</m:t>
          </m:r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sin2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614D5EA" w14:textId="251EE611" w:rsidR="002F3965" w:rsidRDefault="002F3965" w:rsidP="00081AC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A5937E" wp14:editId="2201D7DD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DFC9" w14:textId="147AA2E3" w:rsidR="009E276C" w:rsidRDefault="009E276C" w:rsidP="00081AC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 is the angle between voltage and current, or the impedance angle</w:t>
      </w:r>
      <w:r w:rsidR="0036158D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 xml:space="preserve"> </m:t>
        </m:r>
      </m:oMath>
      <w:r w:rsidR="0036158D">
        <w:rPr>
          <w:rFonts w:eastAsiaTheme="minorEastAsia"/>
        </w:rPr>
        <w:t xml:space="preserve">is positive if the load is inductive, (i.e., current is lagging the voltage) and </w:t>
      </w:r>
      <m:oMath>
        <m:r>
          <w:rPr>
            <w:rFonts w:ascii="Cambria Math" w:eastAsiaTheme="minorEastAsia" w:hAnsi="Cambria Math"/>
          </w:rPr>
          <m:t>θ</m:t>
        </m:r>
      </m:oMath>
      <w:r w:rsidR="0036158D">
        <w:rPr>
          <w:rFonts w:eastAsiaTheme="minorEastAsia"/>
        </w:rPr>
        <w:t xml:space="preserve"> is negative if the load is capacitive (i.e., current is leading the voltage</w:t>
      </w:r>
      <w:r w:rsidR="001473D6">
        <w:rPr>
          <w:rFonts w:eastAsiaTheme="minorEastAsia"/>
        </w:rPr>
        <w:t>).</w:t>
      </w:r>
      <w:r w:rsidR="0036158D">
        <w:rPr>
          <w:rFonts w:eastAsiaTheme="minorEastAsia"/>
        </w:rPr>
        <w:t xml:space="preserve"> </w:t>
      </w:r>
    </w:p>
    <w:p w14:paraId="3FC7A353" w14:textId="0BACFF49" w:rsidR="001473D6" w:rsidRDefault="001473D6" w:rsidP="00081AC1">
      <w:pPr>
        <w:rPr>
          <w:rFonts w:eastAsiaTheme="minorEastAsia"/>
        </w:rPr>
      </w:pPr>
      <w:r>
        <w:rPr>
          <w:rFonts w:eastAsiaTheme="minorEastAsia"/>
        </w:rPr>
        <w:t>Now open the brackets</w:t>
      </w:r>
    </w:p>
    <w:p w14:paraId="1909D6B3" w14:textId="083A330B" w:rsidR="00E24EAC" w:rsidRPr="002F3965" w:rsidRDefault="00E24EAC" w:rsidP="00E24E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color w:val="7030A0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color w:val="7030A0"/>
            </w:rPr>
            <m:t>cos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2</m:t>
          </m:r>
          <m:d>
            <m:dPr>
              <m:ctrlPr>
                <w:rPr>
                  <w:rFonts w:ascii="Cambria Math" w:hAnsi="Cambria Math"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I</m:t>
              </m:r>
            </m:e>
          </m:d>
          <m:r>
            <w:rPr>
              <w:rFonts w:ascii="Cambria Math" w:hAnsi="Cambria Math"/>
              <w:color w:val="70AD47" w:themeColor="accent6"/>
            </w:rPr>
            <m:t>sin</m:t>
          </m:r>
          <m:r>
            <w:rPr>
              <w:rFonts w:ascii="Cambria Math" w:eastAsiaTheme="minorEastAsia" w:hAnsi="Cambria Math"/>
              <w:color w:val="70AD47" w:themeColor="accent6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70AD47" w:themeColor="accent6"/>
            </w:rPr>
            <m:t>sin2</m:t>
          </m:r>
          <m:d>
            <m:dPr>
              <m:ctrlPr>
                <w:rPr>
                  <w:rFonts w:ascii="Cambria Math" w:hAnsi="Cambria Math"/>
                  <w:color w:val="70AD47" w:themeColor="accent6"/>
                </w:rPr>
              </m:ctrlPr>
            </m:dPr>
            <m:e>
              <m:r>
                <w:rPr>
                  <w:rFonts w:ascii="Cambria Math" w:hAnsi="Cambria Math"/>
                  <w:color w:val="70AD47" w:themeColor="accent6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AD47" w:themeColor="accent6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1548CEB" w14:textId="73F60045" w:rsidR="001473D6" w:rsidRPr="002F3965" w:rsidRDefault="00F961EF" w:rsidP="001473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color w:val="7030A0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7030A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color w:val="7030A0"/>
            </w:rPr>
            <m:t>cos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2</m:t>
          </m:r>
          <m:d>
            <m:dPr>
              <m:ctrlPr>
                <w:rPr>
                  <w:rFonts w:ascii="Cambria Math" w:hAnsi="Cambria Math"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(6)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FD2BF6E" w14:textId="6275CCD5" w:rsidR="00FD4DB7" w:rsidRDefault="00AF7B60">
      <w:r>
        <w:t>The original value with 2 multiple harmonics</w:t>
      </w:r>
    </w:p>
    <w:p w14:paraId="0F6D4001" w14:textId="6D80B542" w:rsidR="00FD4DB7" w:rsidRPr="00CF2B2B" w:rsidRDefault="00CF2B2B" w:rsidP="00FD4DB7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θ</m:t>
                  </m:r>
                </m:e>
              </m:d>
            </m:e>
          </m:func>
        </m:oMath>
      </m:oMathPara>
    </w:p>
    <w:p w14:paraId="66392301" w14:textId="1DB6820A" w:rsidR="00CF2B2B" w:rsidRPr="00FD4DB7" w:rsidRDefault="00CF2B2B" w:rsidP="00FD4DB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The average power delivered by load is</w:t>
      </w:r>
    </w:p>
    <w:p w14:paraId="1739671C" w14:textId="0269563D" w:rsidR="00FD4DB7" w:rsidRPr="00CF2B2B" w:rsidRDefault="00CF2B2B" w:rsidP="00FD4DB7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P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e>
          </m:d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 xml:space="preserve">                             (7)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1E1E2633" w14:textId="1EE58EED" w:rsidR="00CF2B2B" w:rsidRDefault="00CF2B2B" w:rsidP="00FD4DB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This is the </w:t>
      </w:r>
      <w:r w:rsidR="009A62E3">
        <w:rPr>
          <w:rFonts w:eastAsiaTheme="minorEastAsia"/>
          <w:color w:val="000000" w:themeColor="text1"/>
        </w:rPr>
        <w:t>power absorbed by the resistive component of the load and is also referred as the active power or real power.</w:t>
      </w:r>
    </w:p>
    <w:p w14:paraId="67A8ECE4" w14:textId="2EBCD9D6" w:rsidR="00F71C84" w:rsidRDefault="00F71C84" w:rsidP="00FD4DB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product of the rms voltage value and the rms current value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</m:d>
      </m:oMath>
      <w:r>
        <w:rPr>
          <w:rFonts w:eastAsiaTheme="minorEastAsia"/>
          <w:color w:val="000000" w:themeColor="text1"/>
        </w:rPr>
        <w:t xml:space="preserve"> is called the apparent power and is measure in </w:t>
      </w:r>
      <w:r w:rsidR="008C0C6F">
        <w:rPr>
          <w:rFonts w:eastAsiaTheme="minorEastAsia"/>
          <w:color w:val="000000" w:themeColor="text1"/>
        </w:rPr>
        <w:t>units of volt ampere.</w:t>
      </w:r>
    </w:p>
    <w:p w14:paraId="1DFDACA7" w14:textId="2013644F" w:rsidR="008C0C6F" w:rsidRDefault="008C0C6F" w:rsidP="00FD4DB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The product of the apparent power and the cosine of the angle between voltage and current yields the real power</w:t>
      </w:r>
      <w:r w:rsidR="00D77825">
        <w:rPr>
          <w:rFonts w:eastAsiaTheme="minorEastAsia"/>
          <w:color w:val="000000" w:themeColor="text1"/>
        </w:rPr>
        <w:t>.</w:t>
      </w:r>
    </w:p>
    <w:p w14:paraId="22FBF21C" w14:textId="789C943D" w:rsidR="00D77825" w:rsidRDefault="00D77825" w:rsidP="00FD4DB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Cosine is the power factor, when the current lags the voltage, the P.F is considered as lagging power factor. </w:t>
      </w:r>
      <w:r w:rsidR="003A2247">
        <w:rPr>
          <w:rFonts w:eastAsiaTheme="minorEastAsia"/>
          <w:color w:val="000000" w:themeColor="text1"/>
        </w:rPr>
        <w:t>When the current leads the voltage, the power factor is considered as leading PF.</w:t>
      </w:r>
    </w:p>
    <w:p w14:paraId="29EFE465" w14:textId="4F35B980" w:rsidR="003A2247" w:rsidRDefault="003A2247" w:rsidP="00FD4DB7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 second component of </w:t>
      </w:r>
      <w:r w:rsidR="008D0D78">
        <w:rPr>
          <w:rFonts w:eastAsiaTheme="minorEastAsia"/>
          <w:color w:val="000000" w:themeColor="text1"/>
        </w:rPr>
        <w:t>)5)</w:t>
      </w:r>
    </w:p>
    <w:p w14:paraId="5B1A4787" w14:textId="2E4F7906" w:rsidR="008D0D78" w:rsidRPr="00C03B35" w:rsidRDefault="008D0D78" w:rsidP="00FD4DB7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Px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e>
          </m:d>
          <m:r>
            <w:rPr>
              <w:rFonts w:ascii="Cambria Math" w:hAnsi="Cambria Math"/>
              <w:color w:val="000000" w:themeColor="text1"/>
            </w:rPr>
            <m:t>sin</m:t>
          </m:r>
          <m:r>
            <w:rPr>
              <w:rFonts w:ascii="Cambria Math" w:eastAsiaTheme="minorEastAsia" w:hAnsi="Cambria Math"/>
              <w:color w:val="000000" w:themeColor="text1"/>
            </w:rPr>
            <m:t>θ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sin2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ωt+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              (8)</m:t>
          </m:r>
          <m:r>
            <w:rPr>
              <w:rFonts w:ascii="Cambria Math" w:hAnsi="Cambria Math"/>
              <w:color w:val="000000" w:themeColor="text1"/>
            </w:rPr>
            <m:t xml:space="preserve">   </m:t>
          </m:r>
        </m:oMath>
      </m:oMathPara>
    </w:p>
    <w:p w14:paraId="30C3376C" w14:textId="0360D29E" w:rsidR="00AF7B60" w:rsidRDefault="00AF7B60" w:rsidP="00AF7B60">
      <w:r>
        <w:t>The original value with 2 multiple harmonics</w:t>
      </w:r>
      <w:r w:rsidR="00B42084">
        <w:t xml:space="preserve">. This is </w:t>
      </w:r>
      <w:proofErr w:type="spellStart"/>
      <w:r w:rsidR="00B42084">
        <w:t>cllaed</w:t>
      </w:r>
      <w:proofErr w:type="spellEnd"/>
      <w:r w:rsidR="00B42084">
        <w:t xml:space="preserve"> as Reactive Power (Q)</w:t>
      </w:r>
    </w:p>
    <w:p w14:paraId="002D5D21" w14:textId="740D6C23" w:rsidR="00AF7B60" w:rsidRPr="00C03B35" w:rsidRDefault="00427AC7" w:rsidP="00AF7B60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Q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e>
          </m:d>
          <m:r>
            <w:rPr>
              <w:rFonts w:ascii="Cambria Math" w:hAnsi="Cambria Math"/>
              <w:color w:val="000000" w:themeColor="text1"/>
            </w:rPr>
            <m:t>sin</m:t>
          </m:r>
          <m:r>
            <w:rPr>
              <w:rFonts w:ascii="Cambria Math" w:eastAsiaTheme="minorEastAsia" w:hAnsi="Cambria Math"/>
              <w:color w:val="000000" w:themeColor="text1"/>
            </w:rPr>
            <m:t>θ</m:t>
          </m:r>
          <m:r>
            <w:rPr>
              <w:rFonts w:ascii="Cambria Math" w:hAnsi="Cambria Math"/>
              <w:color w:val="000000" w:themeColor="text1"/>
            </w:rPr>
            <m:t xml:space="preserve">   </m:t>
          </m:r>
          <m:r>
            <w:rPr>
              <w:rFonts w:ascii="Cambria Math" w:hAnsi="Cambria Math"/>
              <w:color w:val="000000" w:themeColor="text1"/>
            </w:rPr>
            <m:t xml:space="preserve">                        (9)</m:t>
          </m:r>
        </m:oMath>
      </m:oMathPara>
    </w:p>
    <w:p w14:paraId="174671CF" w14:textId="04C0E7A0" w:rsidR="00FD4DB7" w:rsidRDefault="006C7CE4">
      <w:r>
        <w:lastRenderedPageBreak/>
        <w:t xml:space="preserve">For Inductive load current is lagging the voltage </w:t>
      </w:r>
      <m:oMath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&gt;0 and Q is positive. For a capacitive load, current is leading the voltage, </m:t>
        </m:r>
        <m:r>
          <w:rPr>
            <w:rFonts w:ascii="Cambria Math" w:hAnsi="Cambria Math"/>
          </w:rPr>
          <m:t>θ=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 xml:space="preserve"> and Q is negative.</m:t>
        </m:r>
      </m:oMath>
    </w:p>
    <w:p w14:paraId="0076A16A" w14:textId="673CA954" w:rsidR="00357FBB" w:rsidRPr="004E233F" w:rsidRDefault="004E233F">
      <w:pPr>
        <w:rPr>
          <w:b/>
          <w:bCs/>
          <w:color w:val="7030A0"/>
        </w:rPr>
      </w:pPr>
      <w:r w:rsidRPr="004E233F">
        <w:rPr>
          <w:b/>
          <w:bCs/>
          <w:color w:val="7030A0"/>
        </w:rPr>
        <w:t>Example 2.1</w:t>
      </w:r>
    </w:p>
    <w:p w14:paraId="1D38F07B" w14:textId="46E34185" w:rsidR="004E233F" w:rsidRPr="004E233F" w:rsidRDefault="004E233F">
      <w:pPr>
        <w:rPr>
          <w:b/>
          <w:bCs/>
          <w:color w:val="7030A0"/>
        </w:rPr>
      </w:pPr>
      <w:r w:rsidRPr="004E233F">
        <w:rPr>
          <w:b/>
          <w:bCs/>
          <w:color w:val="7030A0"/>
        </w:rPr>
        <w:t>The supply voltage as shown in Figure is given by v(t) = 100</w:t>
      </w:r>
    </w:p>
    <w:sectPr w:rsidR="004E233F" w:rsidRPr="004E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1A"/>
    <w:rsid w:val="00050899"/>
    <w:rsid w:val="000548C6"/>
    <w:rsid w:val="00081AC1"/>
    <w:rsid w:val="000D6804"/>
    <w:rsid w:val="001473D6"/>
    <w:rsid w:val="002344A6"/>
    <w:rsid w:val="00271E25"/>
    <w:rsid w:val="002E13BD"/>
    <w:rsid w:val="002F3965"/>
    <w:rsid w:val="00303D1A"/>
    <w:rsid w:val="00357FBB"/>
    <w:rsid w:val="0036158D"/>
    <w:rsid w:val="003A2247"/>
    <w:rsid w:val="003F134F"/>
    <w:rsid w:val="00427AC7"/>
    <w:rsid w:val="00432572"/>
    <w:rsid w:val="004D56BC"/>
    <w:rsid w:val="004E233F"/>
    <w:rsid w:val="005F0B3D"/>
    <w:rsid w:val="00627331"/>
    <w:rsid w:val="0068617F"/>
    <w:rsid w:val="00690C5C"/>
    <w:rsid w:val="006C7CE4"/>
    <w:rsid w:val="006F4634"/>
    <w:rsid w:val="008000DF"/>
    <w:rsid w:val="00852825"/>
    <w:rsid w:val="008943D5"/>
    <w:rsid w:val="008C0C6F"/>
    <w:rsid w:val="008D0D78"/>
    <w:rsid w:val="0093532F"/>
    <w:rsid w:val="00954896"/>
    <w:rsid w:val="009A62E3"/>
    <w:rsid w:val="009C350B"/>
    <w:rsid w:val="009E276C"/>
    <w:rsid w:val="00A6712E"/>
    <w:rsid w:val="00AF7B60"/>
    <w:rsid w:val="00B241F8"/>
    <w:rsid w:val="00B42084"/>
    <w:rsid w:val="00B465D0"/>
    <w:rsid w:val="00B90DB3"/>
    <w:rsid w:val="00B96CF3"/>
    <w:rsid w:val="00BA6B71"/>
    <w:rsid w:val="00BC27AB"/>
    <w:rsid w:val="00C03B35"/>
    <w:rsid w:val="00CF2B2B"/>
    <w:rsid w:val="00D05246"/>
    <w:rsid w:val="00D51DD3"/>
    <w:rsid w:val="00D77825"/>
    <w:rsid w:val="00DB21BC"/>
    <w:rsid w:val="00DC4711"/>
    <w:rsid w:val="00DE028B"/>
    <w:rsid w:val="00E21F82"/>
    <w:rsid w:val="00E24EAC"/>
    <w:rsid w:val="00E2714B"/>
    <w:rsid w:val="00EC092E"/>
    <w:rsid w:val="00F04059"/>
    <w:rsid w:val="00F55966"/>
    <w:rsid w:val="00F67B0A"/>
    <w:rsid w:val="00F71C84"/>
    <w:rsid w:val="00F76B24"/>
    <w:rsid w:val="00F961EF"/>
    <w:rsid w:val="00FD4DB7"/>
    <w:rsid w:val="00FE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5482"/>
  <w15:chartTrackingRefBased/>
  <w15:docId w15:val="{30682A5D-1AD3-4482-B24B-BBEB4A37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1</cp:revision>
  <dcterms:created xsi:type="dcterms:W3CDTF">2022-08-20T11:33:00Z</dcterms:created>
  <dcterms:modified xsi:type="dcterms:W3CDTF">2022-08-20T13:02:00Z</dcterms:modified>
</cp:coreProperties>
</file>