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Claude Cowork · Project Kickoff Playbook — Web App</w:t>
      </w:r>
    </w:p>
    <w:p>
      <w:pPr>
        <w:pStyle w:val="Subtitle"/>
      </w:pPr>
      <w:r>
        <w:t xml:space="preserve">A self-contained brief to hand to Claude Cowork at the start of an authenticated web-application (SaaS / dashboard) project. Attach it, then say: “Read this playbook and run the kickoff.”  —  Snapshot June 2026 (re-verify per Section 1). Version 2: hardened from a live Cowork + Claude Code build.</w:t>
      </w:r>
    </w:p>
    <w:p>
      <w:pPr>
        <w:pStyle w:val="Heading1"/>
      </w:pPr>
      <w:r>
        <w:t xml:space="preserve">What’s new in v2 (folded back from a live build)</w:t>
      </w:r>
    </w:p>
    <w:p>
      <w:pPr>
        <w:spacing w:after="120"/>
      </w:pPr>
      <w:r>
        <w:t xml:space="preserve">The original playbook set up the stage well but assumed its own stack and a dark-mode brand. A real build surfaced gaps. v2 adds: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0 — Precedence: when the project ships its own build spec / CLAUDE.md / design.md, those win over this playbook’s stack and tokens. The playbook is the craft bar and process, not a frozen stack.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6 — The build loop: a CPRD-ready backlog as the work queue, and a per-story copy-paste handoff from Cowork to Claude Code, with hybrid PRD depth.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7 — Repo, git &amp; CI gotchas that cost real time: one repo per app, multi-account gh auth, the workflow OAuth scope, the push-to-main guard.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8 — Local dev ergonomics: fixed ports per app (and the macOS AirPlay 5000/7000 trap).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AI-native add-ons threaded through Sections 2, 4 and 9 for agentic products (capture fidelity, memory, propose-approve-audit, per-tenant isolation).</w:t>
      </w:r>
    </w:p>
    <w:p>
      <w:pPr>
        <w:pStyle w:val="Heading1"/>
      </w:pPr>
      <w:r>
        <w:t xml:space="preserve">0 · Precedence — the project’s spec and brand win</w:t>
      </w:r>
    </w:p>
    <w:p>
      <w:pPr>
        <w:spacing w:after="120"/>
      </w:pPr>
      <w:r>
        <w:rPr>
          <w:b/>
          <w:bCs/>
          <w:color w:val="1B2A00"/>
        </w:rPr>
        <w:t xml:space="preserve">NEW  </w:t>
      </w:r>
      <w:r>
        <w:t xml:space="preserve">Resolve context in this order before you scaffold anything. Higher wins, and say in one line when you override a default.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project’s own build spec, CLAUDE.md, design.md, and project instructions — source of truth for stack, data model, design tokens, and non-negotiables.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playbook’s process, craft bar, and definition of done.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playbook’s and any persona’s generic defaults (framework, ORM, auth, tokens) — fallback only.</w:t>
      </w:r>
    </w:p>
    <w:p>
      <w:pPr>
        <w:spacing w:after="120"/>
      </w:pPr>
      <w:r>
        <w:rPr>
          <w:b/>
          <w:bCs/>
        </w:rPr>
        <w:t xml:space="preserve">Why this matters: </w:t>
      </w:r>
      <w:r>
        <w:t xml:space="preserve">the defaults here (dark-mode-first, Inter/Geist, indigo accent, and any ORM/auth/queue suggestion) are a starting point. If the project specifies Prisma over Drizzle, Auth.js over Clerk, BullMQ over Inngest, or a light paper field with its own accent, the project wins. Keep the playbook’s </w:t>
      </w:r>
      <w:r>
        <w:rPr>
          <w:i/>
          <w:iCs/>
        </w:rPr>
        <w:t xml:space="preserve">principles</w:t>
      </w:r>
      <w:r>
        <w:t xml:space="preserve"> (org-scoping, server-validated authZ, structured AI output, named jobs, idempotent inserts, state completeness) — they are stack-agnostic — and map them onto whatever stack the project chose.</w:t>
      </w:r>
    </w:p>
    <w:p>
      <w:pPr>
        <w:pStyle w:val="Heading1"/>
      </w:pPr>
      <w:r>
        <w:t xml:space="preserve">1 · Time-proofing — verify before you build</w:t>
      </w:r>
    </w:p>
    <w:p>
      <w:pPr>
        <w:spacing w:after="120"/>
      </w:pPr>
      <w:r>
        <w:t xml:space="preserve">This playbook was written June 2026. Frameworks, Claude skills, model names, design tools, and platform rules change fast. Before scaffolding, run the re-verification pass. If newer official guidance contradicts this document, the newer guidance wins.</w:t>
      </w:r>
    </w:p>
    <w:p>
      <w:pPr>
        <w:pStyle w:val="Heading3"/>
      </w:pPr>
      <w:r>
        <w:t xml:space="preserve">Standing instruction to Cowork (do this first, do not skip)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the source-of-truth list below for changes since June 2026.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 anything that changed — framework majors, new/renamed skills, model names, WCAG / store-rule updates.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Tell the user what changed in one short summary, then adapt the steps.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then begin Section 2.</w:t>
      </w:r>
    </w:p>
    <w:p>
      <w:pPr>
        <w:pStyle w:val="Heading3"/>
      </w:pPr>
      <w:r>
        <w:t xml:space="preserve">Source of truth — check every kickoff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Claude, skills &amp; models: </w:t>
      </w:r>
      <w:r>
        <w:t xml:space="preserve">code.claude.com/docs (setup, settings, skills, hooks, MCP, changelog); claude.com/blog (new skills, e.g. Frontend Design); docs.claude.com + support.claude.com (current model names and limits — never assume versions from memory); ui.shadcn.com/docs/skills.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 references (steal the bar, not the pixels): </w:t>
      </w:r>
      <w:r>
        <w:t xml:space="preserve">mobbin.com, refero.design, awwwards.com, godly.website.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Platform &amp; standards: </w:t>
      </w:r>
      <w:r>
        <w:t xml:space="preserve">w3.org/WAI (confirm current WCAG version, was 2.2), OWASP Top 10, web.dev performance budgets.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Benchmarks — open and study directly: </w:t>
      </w:r>
      <w:r>
        <w:t xml:space="preserve">linear.app, harvey.ai, hebbia.com, sanalabs.com, legora.com, devrev.ai, v0.app / v7labs.com. Note what makes each feel expensive, then aim there.</w:t>
      </w:r>
    </w:p>
    <w:p>
      <w:pPr>
        <w:pStyle w:val="Heading1"/>
      </w:pPr>
      <w:r>
        <w:t xml:space="preserve">2 · Environment &amp; skills to install</w:t>
      </w:r>
    </w:p>
    <w:p>
      <w:pPr>
        <w:spacing w:after="120"/>
      </w:pPr>
      <w:r>
        <w:t xml:space="preserve">Install the core stack first (same for every project type), then the type-specific tools. Re-check names against Section 1 — skills get added and renamed often.</w:t>
      </w:r>
    </w:p>
    <w:p>
      <w:pPr>
        <w:pStyle w:val="Heading3"/>
      </w:pPr>
      <w:r>
        <w:t xml:space="preserve">Core — every 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Design skill (Anthropic, official) — forces a deliberate aesthetic before any code and bans AI-slop signatures. Highest-leverage install for design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shadcn skills + shadcn registry MCP — project-aware knowledge of installed components, alias paths, Tailwind setup; read components.json on connect.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Shadcnblocks skill — 2,500+ pre-built blocks for fast, consistent composition of heroes, dashboards, tables, 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web-artifacts-builder skill — scaffolds React + Tailwind + shadcn quickly for prototypes/previews.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Accessibility-review + design-critique skills — run as a gate before “done.”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docx / pptx / xlsx skills — the deliverables around the build: specs, launch decks, data pulls.</w:t>
      </w:r>
    </w:p>
    <w:p>
      <w:pPr>
        <w:pStyle w:val="Heading3"/>
      </w:pPr>
      <w:r>
        <w:t xml:space="preserve">Connectors / MCP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MCP (repo, branches, PRs); Figma MCP (tokens, frames, handoff); Linear MCP (planning, issues); shadcn registry MCP (critical — compose tables/forms/dialogs/command palettes from real components); Playwright skill/MCP (E2E on auth + data flows); Database + Sentry MCP (schema-aware queries, error monitoring).</w:t>
      </w:r>
    </w:p>
    <w:p>
      <w:pPr>
        <w:pStyle w:val="Heading3"/>
      </w:pPr>
      <w:r>
        <w:t xml:space="preserve">AI-native / agentic add-on (only if the product has agents)</w:t>
      </w:r>
    </w:p>
    <w:p>
      <w:pPr>
        <w:spacing w:after="120"/>
      </w:pPr>
      <w:r>
        <w:rPr>
          <w:b/>
          <w:bCs/>
          <w:color w:val="1B2A00"/>
        </w:rPr>
        <w:t xml:space="preserve">NEW  </w:t>
      </w:r>
      <w:r>
        <w:t xml:space="preserve">If the product proposes or takes actions on the user’s behalf, treat the intelligence layer as the moat and add: a thin agent runtime (tool-use loop) with persisted traces; structured-output validation (a schema is the contract); a background queue with named steps; and an immutable audit/event log. See Sections 4 and 9.</w:t>
      </w:r>
    </w:p>
    <w:p>
      <w:pPr>
        <w:pStyle w:val="Heading3"/>
      </w:pPr>
      <w:r>
        <w:t xml:space="preserve">Anti-slop guardrail (put this in CLAUDE.md too)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 the generic AI look: no purple gradient on white, no center-everything template, no emoji-as-icons, no drop-shadow-on-everything, no default font with no intent.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to one deliberate type choice and one accent color. Every screen ships real empty, loading, and error states.</w:t>
      </w:r>
    </w:p>
    <w:p>
      <w:pPr>
        <w:pStyle w:val="Heading1"/>
      </w:pPr>
      <w:r>
        <w:t xml:space="preserve">3 · The design DNA — non-negotiable (craft bar, not literal tokens)</w:t>
      </w:r>
    </w:p>
    <w:p>
      <w:pPr>
        <w:spacing w:after="120"/>
      </w:pPr>
      <w:r>
        <w:t xml:space="preserve">Target the family of Linear, Harvey, Hebbia, Sana, Legora, DevRev, v0/V7. </w:t>
      </w:r>
      <w:r>
        <w:t xml:space="preserve">The common thread is a standard of craft — restraint, typographic hierarchy, real density with air, a designed theme — not a look you copy. </w:t>
      </w:r>
      <w:r>
        <w:rPr>
          <w:b/>
          <w:bCs/>
        </w:rPr>
        <w:t xml:space="preserve">If the project has its own design.md/brand, that brand wins; what is non-negotiable is the craft, not the hex values.</w:t>
      </w:r>
    </w:p>
    <w:p>
      <w:pPr>
        <w:pStyle w:val="Heading3"/>
      </w:pPr>
      <w:r>
        <w:t xml:space="preserve">Seven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Restraint over decoration — one accent as a signal (status, focus, primary action), never as paint. Near-monochrome surfaces.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Typography is the interface — hierarchy from weight and size, not color or boxes. Intentional weights, tight tracking on headings.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Density with air — high information density, but generous line-height and a consistent 4px rhythm keep it breathable.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Theme is designed, not inverted — a true near-black canvas (not #000) for dark, or a deliberate paper field for light; elevation via surface steps and 1px hairlines, not heavy shadows.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Motion is functional — 120–240ms, custom easing; transitions clarify state. No decorative bounce. Honor prefers-reduced-motion.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the complex feel effortless (Harvey) — remove friction; keyboard-first; a command palette where it fits.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with intention (Harvey) — where trust matters, show the reasoning: citations, sources, a visible paper trail.</w:t>
      </w:r>
    </w:p>
    <w:p>
      <w:pPr>
        <w:pStyle w:val="Heading3"/>
      </w:pPr>
      <w:r>
        <w:t xml:space="preserve">Starter token system (adapt to the brand — never hardcode)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3536"/>
        <w:gridCol w:w="4160"/>
      </w:tblGrid>
      <w:tr>
        <w:trPr>
          <w:tblHeader/>
        </w:trPr>
        <w:tc>
          <w:tcPr>
            <w:tcW w:type="dxa" w:w="16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Token</w:t>
            </w:r>
          </w:p>
        </w:tc>
        <w:tc>
          <w:tcPr>
            <w:tcW w:type="dxa" w:w="3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 (dark · light)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Font</w:t>
            </w:r>
          </w:p>
        </w:tc>
        <w:tc>
          <w:tcPr>
            <w:tcW w:type="dxa" w:w="3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Inter Variable / Geist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One family. Optional quality serif for editorial headings.</w:t>
            </w:r>
          </w:p>
        </w:tc>
      </w:tr>
      <w:tr>
        <w:tc>
          <w:tcPr>
            <w:tcW w:type="dxa" w:w="16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Type scale (px)</w:t>
            </w:r>
          </w:p>
        </w:tc>
        <w:tc>
          <w:tcPr>
            <w:tcW w:type="dxa" w:w="3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12 · 13 · 14 · 16 · 20 · 24 · 32 · 48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Body 14–16. Headings tracking −0.01 to −0.02em.</w:t>
            </w:r>
          </w:p>
        </w:tc>
      </w:tr>
      <w:tr>
        <w:tc>
          <w:tcPr>
            <w:tcW w:type="dxa" w:w="16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Weights</w:t>
            </w:r>
          </w:p>
        </w:tc>
        <w:tc>
          <w:tcPr>
            <w:tcW w:type="dxa" w:w="3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400 · 510 · 590 · 680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Hierarchy via weight, Linear-style.</w:t>
            </w:r>
          </w:p>
        </w:tc>
      </w:tr>
      <w:tr>
        <w:tc>
          <w:tcPr>
            <w:tcW w:type="dxa" w:w="16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Spacing base</w:t>
            </w:r>
          </w:p>
        </w:tc>
        <w:tc>
          <w:tcPr>
            <w:tcW w:type="dxa" w:w="3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4px grid (4·8·12·16·24·32·48·64)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Everything snaps to it.</w:t>
            </w:r>
          </w:p>
        </w:tc>
      </w:tr>
      <w:tr>
        <w:tc>
          <w:tcPr>
            <w:tcW w:type="dxa" w:w="16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Radius</w:t>
            </w:r>
          </w:p>
        </w:tc>
        <w:tc>
          <w:tcPr>
            <w:tcW w:type="dxa" w:w="3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6–8 controls · 10–12 cards · full pills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Consistent, restrained.</w:t>
            </w:r>
          </w:p>
        </w:tc>
      </w:tr>
      <w:tr>
        <w:tc>
          <w:tcPr>
            <w:tcW w:type="dxa" w:w="16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Canvas</w:t>
            </w:r>
          </w:p>
        </w:tc>
        <w:tc>
          <w:tcPr>
            <w:tcW w:type="dxa" w:w="3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#08090A · #FFFFFF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Dark = near-black, never pure black.</w:t>
            </w:r>
          </w:p>
        </w:tc>
      </w:tr>
      <w:tr>
        <w:tc>
          <w:tcPr>
            <w:tcW w:type="dxa" w:w="16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Surface / elevated</w:t>
            </w:r>
          </w:p>
        </w:tc>
        <w:tc>
          <w:tcPr>
            <w:tcW w:type="dxa" w:w="3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#0E0F11 / #16181B · #FAFAFB / #FFFFFF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Elevation via surface steps, not shadow.</w:t>
            </w:r>
          </w:p>
        </w:tc>
      </w:tr>
      <w:tr>
        <w:tc>
          <w:tcPr>
            <w:tcW w:type="dxa" w:w="16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Border (hairline)</w:t>
            </w:r>
          </w:p>
        </w:tc>
        <w:tc>
          <w:tcPr>
            <w:tcW w:type="dxa" w:w="3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#1F2226 · #E6E6E8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1px. Borders do the work shadows would.</w:t>
            </w:r>
          </w:p>
        </w:tc>
      </w:tr>
      <w:tr>
        <w:tc>
          <w:tcPr>
            <w:tcW w:type="dxa" w:w="16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 / muted</w:t>
            </w:r>
          </w:p>
        </w:tc>
        <w:tc>
          <w:tcPr>
            <w:tcW w:type="dxa" w:w="3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#EDEDEF / #9A9DA3 · #16181B / #6B7177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Maintain ≥ 4.5:1 on body.</w:t>
            </w:r>
          </w:p>
        </w:tc>
      </w:tr>
      <w:tr>
        <w:tc>
          <w:tcPr>
            <w:tcW w:type="dxa" w:w="16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Accent (pick ONE)</w:t>
            </w:r>
          </w:p>
        </w:tc>
        <w:tc>
          <w:tcPr>
            <w:tcW w:type="dxa" w:w="3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Indigo #5B6CFF or acid-lime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Signal color only.</w:t>
            </w:r>
          </w:p>
        </w:tc>
      </w:tr>
      <w:tr>
        <w:tc>
          <w:tcPr>
            <w:tcW w:type="dxa" w:w="16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Motion</w:t>
            </w:r>
          </w:p>
        </w:tc>
        <w:tc>
          <w:tcPr>
            <w:tcW w:type="dxa" w:w="3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120 / 180 / 240ms · cubic-bezier(.2,0,0,1)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Spring for overlays; reduced-motion fallback.</w:t>
            </w:r>
          </w:p>
        </w:tc>
      </w:tr>
    </w:tbl>
    <w:p>
      <w:pPr>
        <w:pStyle w:val="Heading3"/>
      </w:pPr>
      <w:r>
        <w:t xml:space="preserve">What to steal from each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Take this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Linear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Near-black canvas, one accent, dense variable type, keyboard-first, 150–250ms transitions.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Harvey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Enterprise trust: visible citations/paper-trail, domain-familiar patterns, complex made effortless.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Hebbia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grid/Matrix paradigm — dense, repetitive work as a spreadsheet, not a chat bubble.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Sana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Clean knowledge/agent surfaces; calm light + dark; content-first layouts.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Legora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Refined dense tables and review workflows that still feel light.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DevRev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Unified workspace + command palette tying many tools into one calm surface.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v0 / V7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Production-grade component craft and confident product marketing.</w:t>
            </w:r>
          </w:p>
        </w:tc>
      </w:tr>
    </w:tbl>
    <w:p>
      <w:pPr>
        <w:pStyle w:val="Heading3"/>
      </w:pPr>
      <w:r>
        <w:t xml:space="preserve">Web-app-specific design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Density is the point — dense tables, command palette, keyboard shortcuts, instant transitions, optimistic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completeness — every data view ships empty, loading (skeletons), and error states, not just the happy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Trust surfaces — where the app decides or uses AI, show sources/citations and a paper trail.</w:t>
      </w:r>
    </w:p>
    <w:p>
      <w:pPr>
        <w:pStyle w:val="Heading1"/>
      </w:pPr>
      <w:r>
        <w:t xml:space="preserve">4 · Instruction domains for a web app</w:t>
      </w:r>
    </w:p>
    <w:p>
      <w:pPr>
        <w:pStyle w:val="Heading3"/>
      </w:pPr>
      <w:r>
        <w:t xml:space="preserve">Universal domains — specify all in CLAUDE.md + path-scoped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context; tech stack &amp; versions (pin majors); architecture &amp; structure; coding standards; testing; build/run/deploy commands; git &amp; review conventions; security; accessibility target; performance budgets; design system; the never/always list (enforce critical ones with hooks).</w:t>
      </w:r>
    </w:p>
    <w:p>
      <w:pPr>
        <w:pStyle w:val="Heading3"/>
      </w:pPr>
      <w:r>
        <w:t xml:space="preserve">Web-app-specific domains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&amp; sessions — provider/flow, session/token handling, RBAC/permissions, protected routes, multi-tenancy boundaries.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layer &amp; API — REST/GraphQL/RPC conventions, schema/ORM, migrations policy, caching/invalidation, optimistic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management — client vs server state, the chosen library, forms + validation, data-fetching patterns.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 architecture — design-system usage, shared vs feature components, routing, container/presentational split.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&amp; async — websockets/polling/SSE, background jobs, webhooks, idempotency.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handling &amp; observability — error boundaries, logging, monitoring, feature flags, graceful degradation.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(elevated) — authZ on every endpoint, input validation/sanitization, CSRF/XSS, rate limiting, audit logging, PII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— code-splitting, lazy loading, bundle budgets, query/N+1 discipline, pagination/virtualization.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 (elevated) — unit + integration + E2E, fixtures, CI gates.</w:t>
      </w:r>
    </w:p>
    <w:p>
      <w:pPr>
        <w:pStyle w:val="Heading3"/>
      </w:pPr>
      <w:r>
        <w:t xml:space="preserve">Multi-tenant &amp; agent governance (AI-native products)</w:t>
      </w:r>
    </w:p>
    <w:p>
      <w:pPr>
        <w:spacing w:after="120"/>
      </w:pPr>
      <w:r>
        <w:rPr>
          <w:b/>
          <w:bCs/>
          <w:color w:val="1B2A00"/>
        </w:rPr>
        <w:t xml:space="preserve">NEW  </w:t>
      </w:r>
      <w:r>
        <w:t xml:space="preserve">If the product is multi-tenant and/or agentic, add these as first-class domains: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isolation — orgId on every query; one tenant’s data (and any per-tenant models) never leak into another’s. App-level scoping is primary; DB-level FK constraints are integrity gravy.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 → approve → audit — agents draft; humans approve money/safety/contract actions via a state machine; every action logs inputs, output, model, confidence, approver to an immutable event log. confidence is a real field that gates autonomy, not decoration.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Enforced guardrails as data — hard rules (never auto-place an order, never claim stock without a source, never invent a value) live as config, not prose.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 fidelity first — if the product compounds on proprietary data, capture the load-bearing data in its correct shape from day one (as-built, immutable, typed). Retrofitting capture later is the top risk.</w:t>
      </w:r>
    </w:p>
    <w:p>
      <w:pPr>
        <w:pStyle w:val="Heading3"/>
      </w:pPr>
      <w:r>
        <w:t xml:space="preserve">Web-app never / always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trust client-side authorization — validate on the server, every endpoint.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render empty, loading, and error states for every data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paginate or virtualize large lists; never fetch unbounded.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log PII or secrets; redact in logs and error reports.</w:t>
      </w:r>
    </w:p>
    <w:p>
      <w:pPr>
        <w:pStyle w:val="Heading1"/>
      </w:pPr>
      <w:r>
        <w:t xml:space="preserve">5 · Project setup &amp; config</w:t>
      </w:r>
    </w:p>
    <w:p>
      <w:pPr>
        <w:spacing w:after="120"/>
      </w:pPr>
      <w:r>
        <w:t xml:space="preserve">Cowork plans and owns the operational layer; Claude Code implements in the terminal. They share one project folder and one CLAUDE.md. Keep specs in the repo (/specs) so Claude Code reads them directly — never leave context only in chat.</w:t>
      </w:r>
    </w:p>
    <w:p>
      <w:pPr>
        <w:pStyle w:val="Heading3"/>
      </w:pPr>
      <w:r>
        <w:t xml:space="preserve">Files to create at kickoff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CLAUDE.md (~&lt;150 lines) — product context, stack, structure, commands, design DNA + tokens, never/always list. Keep it tight; push specifics into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.claude/rules/*.md — path-scoped conventions (api.md, auth.md, components.md, testing.md) that load only when relevant.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.claude/settings.json — model, permission floor, hooks, env. Commit it; keep secrets in settings.local.json.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Hooks (the 100% layer) — PreToolUse blocks destructive commands and pushes to main; PostToolUse auto-formats + lints on every edit. Safety-critical things go here, not in prose.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.mcp.json — project-scoped servers: GitHub, database, Sentry, Figma, shadcn registry.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design.md + tokens — the token system as the single source the UI reads.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backlog.md — the ordered, CPRD-ready work queue (see Section 6).</w:t>
      </w:r>
    </w:p>
    <w:p>
      <w:pPr>
        <w:pStyle w:val="Heading1"/>
      </w:pPr>
      <w:r>
        <w:t xml:space="preserve">6 · The build loop — backlog-driven, copy-paste handoff</w:t>
      </w:r>
    </w:p>
    <w:p>
      <w:pPr>
        <w:spacing w:after="120"/>
      </w:pPr>
      <w:r>
        <w:rPr>
          <w:b/>
          <w:bCs/>
          <w:color w:val="1B2A00"/>
        </w:rPr>
        <w:t xml:space="preserve">NEW  </w:t>
      </w:r>
      <w:r>
        <w:t xml:space="preserve">This is how Cowork and Claude Code actually cooperate, proven on a real build.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Cowork writes a CPRD-ready backlog.md — every story a row: position, epic, track, StoryID, title, priority, size, status, effort, dependencies. Build order follows the spec’s milestones; dependencies are explicit and acyclic. This is the queue.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story, Cowork emits one copy-paste block for Claude Code — the literal text the user pastes: names the story + spec ref, lists every requirement, states dependencies, and ends with a stop/review gate (“stop after X and show me Y”).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Claude Code implements one story, ships a verify script + a docs/manual-checks.md entry + clean tsc, and stops at the gate.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user reviews, then returns to Cowork for the next block. Approved stories commit + push.</w:t>
      </w:r>
    </w:p>
    <w:p>
      <w:pPr>
        <w:pStyle w:val="Heading3"/>
      </w:pPr>
      <w:r>
        <w:t xml:space="preserve">Hybrid PRD depth (choose per story)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Condensed block — for mechanical stories (schemas, config/tooling, simple CRUD): dense requirements, real field/file names, the stop gate. No heavy scaffolding.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CPRD PRD — for complex or moat-load-bearing stories (agent runtime, RBAC/approval/audit, search/extraction, auth/billing, the intelligence layer): the complete PRD written into /specs, implemented from the doc.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block, either mode, passes a 6-point check before sending: names story + spec ref; carries every requirement; enforces the DoD; states real dependencies; flags moat-load-bearing concerns; ends with a review gate.</w:t>
      </w:r>
    </w:p>
    <w:p>
      <w:pPr>
        <w:pStyle w:val="Heading3"/>
      </w:pPr>
      <w:r>
        <w:t xml:space="preserve">Cowork ⇄ Claude Code handoff loop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Cowork plans: research, spec, design direction → drop a brief in /specs (or a block in chat).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Claude Code builds: implement the story, follow CLAUDE.md and design.md, stop at the gate.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Gate: run accessibility-review + design-critique before merge on UI stories.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Cowork wraps: release notes, launch brief, recurring reports.</w:t>
      </w:r>
    </w:p>
    <w:p>
      <w:pPr>
        <w:pStyle w:val="Heading1"/>
      </w:pPr>
      <w:r>
        <w:t xml:space="preserve">7 · Repo, git &amp; CI gotchas (these cost real time)</w:t>
      </w:r>
    </w:p>
    <w:p>
      <w:pPr>
        <w:spacing w:after="120"/>
      </w:pPr>
      <w:r>
        <w:rPr>
          <w:b/>
          <w:bCs/>
          <w:color w:val="1B2A00"/>
        </w:rPr>
        <w:t xml:space="preserve">NEW  </w:t>
      </w:r>
      <w:r>
        <w:t xml:space="preserve">Set these up early; each one bit during a live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repo per app. </w:t>
      </w:r>
      <w:r>
        <w:t xml:space="preserve">Separate the product app and the marketing site into separate repos when stacks, deploy cadence, and access differ. Keep shared design tokens as a single source and sync, rather than coupling two stacks in a monorepo for a thin shared surface.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Multi-account gh auth. </w:t>
      </w:r>
      <w:r>
        <w:t xml:space="preserve">If the machine has more than one GitHub account, git may push as the wrong identity (403 ‘permission denied’). Confirm the active account (gh auth status), switch with gh auth switch --user &lt;name&gt;, and register gh as git’s credential helper (gh auth setup-git). Remember to switch back before working on another account’s repos.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workflow OAuth scope. </w:t>
      </w:r>
      <w:r>
        <w:t xml:space="preserve">Pushing a .github/workflows/ file fails until the token has the workflow scope. Run gh auth refresh -h github.com -s workflow (interactive, opens device-code flow) before the first CI push.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Push-to-main guard + override. </w:t>
      </w:r>
      <w:r>
        <w:t xml:space="preserve">A pre-push hook that blocks direct pushes to main is good discipline, but during a solo founder-driven foundation phase, gate it behind an override env (e.g. AXONA_ALLOW_MAIN_PUSH=1 git push). Switch to PR + server-side branch protection the moment a second contributor joins or you hit the first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Scaffolding discipline. </w:t>
      </w:r>
      <w:r>
        <w:t xml:space="preserve">Pin versions. Use placeholders, not fakes — a stub exports a name with a comment pointing at the story that fills it in; nothing pretends to work that doesn’t. Keep each concern its own story (tokens, infra, CI are separate from the scaffold).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Deferred-decisions log. </w:t>
      </w:r>
      <w:r>
        <w:t xml:space="preserve">When a story defers something (e.g. formal FK constraints to the migration pass), record it under a ‘deferred decisions’ heading in docs/manual-checks.md so it isn’t lost.</w:t>
      </w:r>
    </w:p>
    <w:p>
      <w:pPr>
        <w:pStyle w:val="Heading1"/>
      </w:pPr>
      <w:r>
        <w:t xml:space="preserve">8 · Local dev ergonomics</w:t>
      </w:r>
    </w:p>
    <w:p>
      <w:pPr>
        <w:spacing w:after="120"/>
      </w:pPr>
      <w:r>
        <w:rPr>
          <w:b/>
          <w:bCs/>
          <w:color w:val="1B2A00"/>
        </w:rPr>
        <w:t xml:space="preserve">NEW  </w:t>
      </w:r>
      <w:r>
        <w:t xml:space="preserve">Pin a fixed port per app so two dev servers never collide — a port binds to one process.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Bake the port into each app’s dev script (e.g. next dev -p 3001) rather than relying on the default 3000; record the map (product app 3001, marketing site 3000, plus infra ports) in the README.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Avoid 5000 and 7000 on macOS </w:t>
      </w:r>
      <w:r>
        <w:t xml:space="preserve">— the AirPlay Receiver listens there and causes confusing ‘address in use’ errors. Use 3001/4000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 up infra with docker-compose (Postgres + pgvector, Redis, blob store) behind a .env.example; the placeholder homepage should render without the DB so you always have something to look at.</w:t>
      </w:r>
    </w:p>
    <w:p>
      <w:pPr>
        <w:pStyle w:val="Heading1"/>
      </w:pPr>
      <w:r>
        <w:t xml:space="preserve">9 · Definition of done — the quality bar</w:t>
      </w:r>
    </w:p>
    <w:p>
      <w:pPr>
        <w:spacing w:after="120"/>
      </w:pPr>
      <w:r>
        <w:t xml:space="preserve">Nothing ships until it clears this. Cowork runs it before calling a screen finished.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endpoint enforces authZ server-side; orgId-scoped on every query; verified by a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/ loading / error states exist for each data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 flows (auth, core CRUD) covered by E2E tests in 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theme (light or dark per brand); 1px hairline borders, surface-step elevation; v2 tokens only (no raw hex).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 navigable; command palette where it fits; visible focus rings.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WCAG AA contrast and focus order pass the accessibility-review.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N+1 queries on hot paths; large lists virtualized/paginated; bundle within budget; route-level code-splitting.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Passes the anti-slop guardrail and design-critique skill.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 story: a verify script passes, a docs/manual-checks.md entry is appended, tsc --noEmit is clean.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agentic products: agent trace where relevant, human-in-the-loop on gated actions, audit log captures model/confidence/approver.</w:t>
      </w:r>
    </w:p>
    <w:p>
      <w:pPr>
        <w:spacing w:after="120"/>
      </w:pPr>
      <w:r>
        <w:rPr>
          <w:b/>
          <w:bCs/>
        </w:rPr>
        <w:t xml:space="preserve">One-line standard: </w:t>
      </w:r>
      <w:r>
        <w:t xml:space="preserve">“Could this sit inside Linear or Harvey without looking out of place? If not, keep going.”</w:t>
      </w:r>
    </w:p>
    <w:p>
      <w:pPr>
        <w:pStyle w:val="Heading1"/>
      </w:pPr>
      <w:r>
        <w:t xml:space="preserve">Appendix ·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Code &amp; skills: Best practices for Claude Code (official); Skills (official); Improving frontend design through Skills (Anthropic blog); shadcn/ui Skills — registry MCP + skills.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references: How We Approach Design at Harvey; Rebuilding Harvey’s Design System; Mobbin; Awwwards; Linear.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Standards: WCAG (W3C) — confirm current version; OWASP Top 10; web.dev performance.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–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 w:before="0"/>
    </w:pPr>
    <w:rPr>
      <w:rFonts w:ascii="Arial" w:cs="Arial" w:eastAsia="Arial" w:hAnsi="Arial"/>
      <w:b/>
      <w:bCs/>
      <w:sz w:val="44"/>
      <w:szCs w:val="44"/>
    </w:rPr>
  </w:style>
  <w:style w:type="paragraph" w:styleId="Subtitle">
    <w:name w:val="Subtitle"/>
    <w:basedOn w:val="Normal"/>
    <w:next w:val="Normal"/>
    <w:pPr>
      <w:spacing w:after="240" w:before="0"/>
    </w:pPr>
    <w:rPr>
      <w:rFonts w:ascii="Arial" w:cs="Arial" w:eastAsia="Arial" w:hAnsi="Arial"/>
      <w:color w:val="55555F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2026-06-26T11:14:17.481Z</dcterms:created>
  <dcterms:modified xsi:type="dcterms:W3CDTF">2026-06-26T11:14:17.481Z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