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sz w:val="40"/>
          <w:szCs w:val="40"/>
        </w:rPr>
        <w:t xml:space="preserve">Especificação Base de Projetos</w:t>
      </w:r>
    </w:p>
    <w:p>
      <w:pPr>
        <w:spacing w:after="300"/>
      </w:pPr>
      <w:r>
        <w:rPr>
          <w:color w:val="666666"/>
          <w:sz w:val="22"/>
          <w:szCs w:val="22"/>
        </w:rPr>
        <w:t xml:space="preserve">ENSO ORIGINS LDA  |  Outubro 2026</w:t>
      </w:r>
    </w:p>
    <w:p>
      <w:pPr>
        <w:spacing w:after="120"/>
      </w:pPr>
      <w:r>
        <w:t xml:space="preserve">Este documento define as regras base comuns a todos os projetos de software da ENSO. Serve de referência para a especificação de cada novo projeto, sendo depois complementado com os requisitos próprios de cada caso.</w:t>
      </w:r>
    </w:p>
    <w:p>
      <w:pPr>
        <w:spacing w:after="120"/>
      </w:pPr>
      <w:r>
        <w:t xml:space="preserve">Os critérios de aceitação detalhados de cada regra estão descritos em Gherkin na pasta gherkin-base-enso, e o sample-project é uma implementação de referência desta especificação.</w:t>
      </w:r>
    </w:p>
    <w:p>
      <w:pPr>
        <w:pStyle w:val="Heading1"/>
      </w:pPr>
      <w:r>
        <w:t xml:space="preserve">1. Tipo de software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Aplicações web, na totalidade ou quase.</w:t>
      </w:r>
    </w:p>
    <w:p>
      <w:pPr>
        <w:pStyle w:val="Heading1"/>
      </w:pPr>
      <w:r>
        <w:t xml:space="preserve">2. Back-end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Tipicamente desenvolvido em Node.</w:t>
      </w:r>
    </w:p>
    <w:p>
      <w:pPr>
        <w:pStyle w:val="Heading1"/>
      </w:pPr>
      <w:r>
        <w:t xml:space="preserve">3. Base de dados</w:t>
      </w:r>
    </w:p>
    <w:p>
      <w:pPr>
        <w:spacing w:after="120"/>
      </w:pPr>
      <w:r>
        <w:t xml:space="preserve">A escolha da base de dados é flexível e decidida caso a caso, conforme o software a especificar o justifique.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 como opção típica.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Bases de dados não relacionais quando o caso o justifique.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Timescale para séries temporais.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SQLite para projetos pequenos, quando é suficiente.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Evitam-se sempre soluções Microsoft, como o SQL Server.</w:t>
      </w:r>
    </w:p>
    <w:p>
      <w:pPr>
        <w:pStyle w:val="Heading1"/>
      </w:pPr>
      <w:r>
        <w:t xml:space="preserve">4. Front-end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Tipicamente baseado em React.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Tipicamente em TypeScript, com Tailwind e ícones lucide.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identidade visual segue o style guide ENSO (repositório base-style-guide): tokens de cor, componentes (botões, campos, alertas, badges, cartões, tabs e modais) e modo claro/escuro. Cada projeto varia apenas as cores e o logótipo.</w:t>
      </w:r>
    </w:p>
    <w:p>
      <w:pPr>
        <w:pStyle w:val="Heading1"/>
      </w:pPr>
      <w:r>
        <w:t xml:space="preserve">5. Tecnologia de execução</w:t>
      </w:r>
    </w:p>
    <w:p>
      <w:pPr>
        <w:spacing w:after="120"/>
      </w:pPr>
      <w:r>
        <w:t xml:space="preserve">Utiliza-se Docker Compose em ambiente de desenvolvimento e, eventualmente, também em produção.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serviço por componente: front-end, back-end, base de dados e o que mais for necessário.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dados persistentes são sempre colocados numa pasta data, seguida do nome do serviço (data/nome-do-servico).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Nunca se usam named volumes do Docker, exceto quando haja uma razão muito específica que o justifique.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pasta data da raiz do projeto não entra no repositório; pastas de código com o nome data não são ignoradas.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portas são configuráveis por variáveis de ambiente.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primeiro arranque, o super administrador inicial e as settings de e-mail e branding são criados a partir de variáveis de ambiente; depois passam a ser geridos no back-office.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estrutura da base de dados é atualizada automaticamente no arranque, sem perder dados.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Segurança: em produção é obrigatória uma chave secreta própria; a password do servidor de e-mail e os segredos de OTP são guardados cifrados e as passwords dos utilizadores com hash.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 desenvolvimento existe um serviço Mailpit que apanha todos os e-mails enviados. O front-end mostra links para a sua caixa de correio apenas quando está configurado, nunca em produção.</w:t>
      </w:r>
    </w:p>
    <w:p>
      <w:pPr>
        <w:pStyle w:val="Heading1"/>
      </w:pPr>
      <w:r>
        <w:t xml:space="preserve">6. Utilizadores</w:t>
      </w:r>
    </w:p>
    <w:p>
      <w:pPr>
        <w:spacing w:after="120"/>
      </w:pPr>
      <w:r>
        <w:t xml:space="preserve">Existe sempre uma componente de utilizadores, com perfis diferenciados.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Tipicamente um perfil de administrador e um perfil normal.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 vezes um perfil de super administrador.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administrador gere administradores e utilizadores normais; só o super administrador gere super administradores.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Ninguém pode alterar o próprio perfil nem desativar ou eliminar a própria conta.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Contas inativas não conseguem entrar nem recuperar a password.</w:t>
      </w:r>
    </w:p>
    <w:p>
      <w:pPr>
        <w:pStyle w:val="Heading1"/>
      </w:pPr>
      <w:r>
        <w:t xml:space="preserve">7. Zonas da aplicação</w:t>
      </w:r>
    </w:p>
    <w:p>
      <w:pPr>
        <w:spacing w:after="120"/>
      </w:pPr>
      <w:r>
        <w:t xml:space="preserve">Na maior parte dos casos, a aplicação divide-se em duas zonas: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front-end público, sem autenticação.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back-office, em rota do tipo /admin, com autenticação.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settings e a gestão de utilizadores estão disponíveis apenas para administradores, e o menu do back-office adapta-se ao perfil.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tenta abrir uma página do back-office sem sessão é levado ao login e, depois de entrar, volta a essa página.</w:t>
      </w:r>
    </w:p>
    <w:p>
      <w:pPr>
        <w:pStyle w:val="Heading1"/>
      </w:pPr>
      <w:r>
        <w:t xml:space="preserve">8. 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Login sempre com e-mail e password. Não se utiliza username.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Verificação em dois passos (MFA) sempre disponível, com dois métodos: aplicação autenticadora (TOTP, código de 6 dígitos) e impressão digital no próprio computador (WebAuthn: Touch ID, Windows Hello). Cada conta pode usar um, outro ou ambos.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administrador pode tornar o MFA obrigatório numa conta. A pessoa tem de manter pelo menos um método e, se ainda não tiver nenhum, configura-o no próprio login antes de entrar.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administrador pode repor o MFA de uma conta (perda do telemóvel ou do computador): remove todos os métodos, termina as sessões abertas e avisa a pessoa por e-mail.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impressões digitais ficam ligadas ao domínio do site; em produção o site é servido em HTTPS.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Login e reset de password sempre presentes, com os formulários típicos de recuperação.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Mensagens de erro de login genéricas e limite de tentativas por endereço.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link de reset de password é válido durante 1 hora e só pode ser usado uma vez; as passwords têm pelo menos 8 caracteres.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Alterar ou repor a password termina as outras sessões abertas.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utilizador tem sempre forma de alterar a sua própria password no seu perfil.</w:t>
      </w:r>
    </w:p>
    <w:p>
      <w:pPr>
        <w:pStyle w:val="Heading1"/>
      </w:pPr>
      <w:r>
        <w:t xml:space="preserve">9. Settings</w:t>
      </w:r>
    </w:p>
    <w:p>
      <w:pPr>
        <w:spacing w:after="120"/>
      </w:pPr>
      <w:r>
        <w:t xml:space="preserve">Existe sempre uma zona de settings no back-office.</w:t>
      </w:r>
    </w:p>
    <w:p>
      <w:pPr>
        <w:spacing w:after="60" w:before="120"/>
      </w:pPr>
      <w:r>
        <w:rPr>
          <w:b/>
          <w:bCs/>
        </w:rPr>
        <w:t xml:space="preserve">Envio de e-mail, incluindo sempre: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Protocolo, tipicamente SMTP.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Utilização ou não de SSL.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 ou não certificados.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Respetiva autenticação.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E-mail do remetente.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password de autenticação nunca é apresentada nem devolvida pelo servidor, e existe o envio de um e-mail de teste.</w:t>
      </w:r>
    </w:p>
    <w:p>
      <w:pPr>
        <w:spacing w:after="60" w:before="120"/>
      </w:pPr>
      <w:r>
        <w:rPr>
          <w:b/>
          <w:bCs/>
        </w:rPr>
        <w:t xml:space="preserve">Branding, onde se configuram: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Logótipo do projeto ou do cliente, apresentado na página de login e utilizado como favicon.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 do cliente, quando aplicável.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 do projeto.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Esquema de 4 cores (primary, secondary, neutral e accent), com 7 esquemas prontos a aplicar com um clique: ENSO, Oceano, Floresta, Terracota, Ameixa, Rubi e Grafite.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Sugestão de cores a partir do logótipo e pré-visualização em toda a aplicação antes de guardar.</w:t>
      </w:r>
    </w:p>
    <w:p>
      <w:pPr>
        <w:spacing w:after="120"/>
      </w:pPr>
      <w:r>
        <w:t xml:space="preserve">Estas variáveis de branding ficam disponíveis para utilização no front-end e no back-end.</w:t>
      </w:r>
    </w:p>
    <w:p>
      <w:pPr>
        <w:pStyle w:val="Heading1"/>
      </w:pPr>
      <w:r>
        <w:t xml:space="preserve">10. E-mails do sistema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e-mails enviados pela plataforma (boas-vindas, reset de password, avisos e outros) são em formato HTML.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e-mails mantêm sempre o branding do projeto: logótipo, nome do cliente e título do projeto, conforme configurado nas settings.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avisos incluem a alteração de password e a reposição da verificação em dois passos.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botões dos e-mails usam a cor primary do branding.</w:t>
      </w:r>
    </w:p>
    <w:p>
      <w:pPr>
        <w:pStyle w:val="Heading1"/>
      </w:pPr>
      <w:r>
        <w:t xml:space="preserve">11. Gestão de utilizadores no back-office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Criar utilizadores com e-mail (identificador de login, único e não alterável), nome, perfil e password inicial opcional.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Ativar ou desativar contas, eliminar com confirmação, exigir e repor a verificação em dois passos.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com pesquisa, filtros por perfil e estado, ordenação e indicação do estado da verificação em dois passos.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enviar um e-mail de boas-vindas a um utilizador, a indicar que pertence à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 cada envio do e-mail de boas-vindas, escolhe-se se inclui ou não a opção de reset de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link para definir a password incluído no e-mail de boas-vindas é válido durante 72 horas.</w:t>
      </w:r>
    </w:p>
    <w:p>
      <w:pPr>
        <w:pStyle w:val="Heading1"/>
      </w:pPr>
      <w:r>
        <w:t xml:space="preserve">12. Interface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 de letra: Inter, em toda a aplicação.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software é sempre responsivo em todas as zonas: front-end público, back-office e páginas de login, reset de password e verificação em dois passos.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favicon é o logótipo configurado na secção de branding.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Identidade visual do style guide ENSO em todas as zonas.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Modo claro e escuro, com botão em todas as páginas; a escolha fica guardada no browser e, por omissão, segue o sistema operativo.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Textos em português de Portugal, tratando o utilizador por "tu".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 ecrãs pequenos, as tabelas passam a cartões e a barra lateral do back-office abre por cima do conteúdo.</w:t>
      </w:r>
    </w:p>
    <w:p>
      <w:pPr>
        <w:spacing w:after="60" w:before="120"/>
      </w:pPr>
      <w:r>
        <w:rPr>
          <w:b/>
          <w:bCs/>
        </w:rPr>
        <w:t xml:space="preserve">Formatação de datas: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Datas sempre no formato YYYY/MM/DD (exemplo: 2026/10/05).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é necessária a hora, acrescenta-se hh:mm (exemplo: 2026/10/05 14:30).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segundos só se apresentam quando necessários (exemplo: 2026/10/05 14:30:15).</w:t>
      </w:r>
    </w:p>
    <w:p>
      <w:pPr>
        <w:pStyle w:val="Heading1"/>
      </w:pPr>
      <w:r>
        <w:t xml:space="preserve">13. Marca ENSO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 todos os projetos, no back-office e na página de login, aparece sempre a indicação Powered by ENSO.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texto "Powered by" fica numa linha e o logótipo da ENSO na linha de baixo.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Usa-se o logótipo oficial da ENSO ORIGINS (enso-origins.com), na versão negativa em modo escuro.</w:t>
      </w:r>
    </w:p>
    <w:p>
      <w:pPr>
        <w:pStyle w:val="Heading1"/>
      </w:pPr>
      <w:r>
        <w:t xml:space="preserve">14. CLAUDE.md</w:t>
      </w:r>
    </w:p>
    <w:p>
      <w:pPr>
        <w:spacing w:after="120"/>
      </w:pPr>
      <w:r>
        <w:t xml:space="preserve">Todos os projetos incluem na raiz do repositório um ficheiro CLAUDE.md, que contém sempre as secções seguintes, para além da informação tecnológica própria de cada projeto: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Git Workflow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After every code change, commit it to the current branch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Use descriptive commit messages that explain what was changed and why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Never switch branches or create new branches unless explicitly asked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Run any relevant checks before committing if applicable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Behavior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Before starting any non-trivial task, ask clarifying questions to better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understand the requirements, edge cases, and expected outcome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If a request is ambiguous, always ask rather than assume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Confirm your understanding of the task before writing any code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## Communication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Be concise in explanations unless asked for detail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When something is unclear, ask don't assume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- Flag potential issues or risks even if not asked</w:t>
      </w:r>
    </w:p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ENSO ORIGINS LDA  |  Especificação Base de Projetos  |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BBBBB" w:sz="4" w:space="4"/>
      </w:pBdr>
      <w:spacing w:after="140" w:before="320"/>
      <w:outlineLvl w:val="0"/>
    </w:pPr>
    <w:rPr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Base de Projetos</dc:title>
  <dc:creator>ENSO ORIGINS LDA</dc:creator>
  <cp:lastModifiedBy>Un-named</cp:lastModifiedBy>
  <cp:revision>1</cp:revision>
  <dcterms:created xsi:type="dcterms:W3CDTF">2026-10-05T18:24:18.218Z</dcterms:created>
  <dcterms:modified xsi:type="dcterms:W3CDTF">2026-10-05T18:24:18.222Z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