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361E6" w14:textId="28E3B752" w:rsidR="00305459" w:rsidRDefault="00305459" w:rsidP="00305459">
      <w:pPr>
        <w:spacing w:after="0"/>
        <w:jc w:val="center"/>
      </w:pPr>
      <w:proofErr w:type="spellStart"/>
      <w:r>
        <w:rPr>
          <w:rFonts w:eastAsia="Times New Roman" w:cs="Times New Roman"/>
        </w:rPr>
        <w:t>Shulyatev</w:t>
      </w:r>
      <w:proofErr w:type="spellEnd"/>
      <w:r>
        <w:rPr>
          <w:rFonts w:eastAsia="Times New Roman" w:cs="Times New Roman"/>
        </w:rPr>
        <w:t xml:space="preserve"> Artem Andreevich</w:t>
      </w:r>
      <w:r>
        <w:rPr>
          <w:rFonts w:eastAsia="Times New Roman" w:cs="Times New Roman"/>
          <w:vertAlign w:val="superscript"/>
        </w:rPr>
        <w:t>1</w:t>
      </w:r>
    </w:p>
    <w:p w14:paraId="3929953A" w14:textId="77777777" w:rsidR="00714A42" w:rsidRDefault="00714A42" w:rsidP="00305459">
      <w:pPr>
        <w:spacing w:after="0"/>
        <w:jc w:val="center"/>
        <w:rPr>
          <w:rFonts w:eastAsia="Times New Roman" w:cs="Times New Roman"/>
          <w:b/>
          <w:lang w:val="ru-RU"/>
        </w:rPr>
      </w:pPr>
      <w:r w:rsidRPr="00714A42">
        <w:rPr>
          <w:rFonts w:eastAsia="Times New Roman" w:cs="Times New Roman"/>
          <w:b/>
        </w:rPr>
        <w:t>APPLICATION OF THE COMPETENCE-BASED APPROACH TO THE FORMALIZATION OF LEARNING MATERIAL IN ADAPTIVE SYSTEMS FOR ASSESSING STUDENTS' KNOWLEDGE AND SKILLS</w:t>
      </w:r>
    </w:p>
    <w:p w14:paraId="743BD20D" w14:textId="4466DC98" w:rsidR="00305459" w:rsidRPr="00860391" w:rsidRDefault="00305459" w:rsidP="00305459">
      <w:pPr>
        <w:spacing w:after="0"/>
        <w:jc w:val="center"/>
        <w:rPr>
          <w:rFonts w:eastAsia="Times New Roman" w:cs="Times New Roman"/>
        </w:rPr>
      </w:pPr>
      <w:r>
        <w:rPr>
          <w:rFonts w:eastAsia="Times New Roman" w:cs="Times New Roman"/>
          <w:vertAlign w:val="superscript"/>
        </w:rPr>
        <w:t>1</w:t>
      </w:r>
      <w:r>
        <w:rPr>
          <w:rFonts w:eastAsia="Times New Roman" w:cs="Times New Roman"/>
        </w:rPr>
        <w:t xml:space="preserve"> Department of Software Engineering and Artificial Intelligence, Institute of Mathematics and Computer Technologies, Far Eastern Federal University</w:t>
      </w:r>
    </w:p>
    <w:p w14:paraId="3EB7EDDF" w14:textId="6E19B248" w:rsidR="00305459" w:rsidRPr="00914D9C" w:rsidRDefault="00305459" w:rsidP="00305459">
      <w:pPr>
        <w:spacing w:after="0"/>
        <w:jc w:val="center"/>
        <w:rPr>
          <w:rFonts w:eastAsia="Times New Roman" w:cs="Times New Roman"/>
        </w:rPr>
      </w:pPr>
      <w:r>
        <w:rPr>
          <w:rFonts w:eastAsia="Times New Roman" w:cs="Times New Roman"/>
          <w:vertAlign w:val="superscript"/>
        </w:rPr>
        <w:t>2</w:t>
      </w:r>
      <w:r>
        <w:rPr>
          <w:rFonts w:eastAsia="Times New Roman" w:cs="Times New Roman"/>
        </w:rPr>
        <w:t xml:space="preserve"> </w:t>
      </w:r>
      <w:r w:rsidRPr="00914D9C">
        <w:rPr>
          <w:rFonts w:eastAsia="Times New Roman" w:cs="Times New Roman"/>
        </w:rPr>
        <w:t>Department of professional-oriented translation</w:t>
      </w:r>
      <w:r>
        <w:rPr>
          <w:rFonts w:eastAsia="Times New Roman" w:cs="Times New Roman"/>
        </w:rPr>
        <w:t xml:space="preserve">, </w:t>
      </w:r>
      <w:r w:rsidRPr="00914D9C">
        <w:rPr>
          <w:rFonts w:eastAsia="Times New Roman" w:cs="Times New Roman"/>
        </w:rPr>
        <w:t>Institute of Asian Studies</w:t>
      </w:r>
      <w:r>
        <w:rPr>
          <w:rFonts w:eastAsia="Times New Roman" w:cs="Times New Roman"/>
        </w:rPr>
        <w:t>, Far Eastern Federal University</w:t>
      </w:r>
    </w:p>
    <w:p w14:paraId="312D4F3E" w14:textId="55D9537F" w:rsidR="00305459" w:rsidRPr="00305459" w:rsidRDefault="00305459" w:rsidP="00305459">
      <w:pPr>
        <w:spacing w:after="0"/>
        <w:jc w:val="center"/>
      </w:pPr>
      <w:r>
        <w:rPr>
          <w:rFonts w:eastAsia="Times New Roman" w:cs="Times New Roman"/>
        </w:rPr>
        <w:t xml:space="preserve">Scientific adviser – </w:t>
      </w:r>
      <w:r w:rsidRPr="00305459">
        <w:rPr>
          <w:rFonts w:eastAsia="Times New Roman" w:cs="Times New Roman"/>
        </w:rPr>
        <w:t>Associate Professor</w:t>
      </w:r>
      <w:r>
        <w:rPr>
          <w:rFonts w:eastAsia="Times New Roman" w:cs="Times New Roman"/>
        </w:rPr>
        <w:t xml:space="preserve">, </w:t>
      </w:r>
      <w:r w:rsidRPr="00305459">
        <w:rPr>
          <w:rFonts w:eastAsia="Times New Roman" w:cs="Times New Roman"/>
        </w:rPr>
        <w:t xml:space="preserve">Candidate of Technical Sciences </w:t>
      </w:r>
      <w:r>
        <w:rPr>
          <w:rFonts w:eastAsia="Times New Roman" w:cs="Times New Roman"/>
        </w:rPr>
        <w:t>S.N. Ostroukhova</w:t>
      </w:r>
      <w:r w:rsidRPr="00305459">
        <w:rPr>
          <w:rFonts w:eastAsia="Times New Roman" w:cs="Times New Roman"/>
          <w:vertAlign w:val="superscript"/>
        </w:rPr>
        <w:t>1</w:t>
      </w:r>
    </w:p>
    <w:p w14:paraId="3245BF16" w14:textId="76E57E33" w:rsidR="00305459" w:rsidRPr="00305459" w:rsidRDefault="00305459" w:rsidP="00305459">
      <w:pPr>
        <w:spacing w:after="0"/>
        <w:jc w:val="center"/>
      </w:pPr>
      <w:r>
        <w:rPr>
          <w:rFonts w:eastAsia="Times New Roman" w:cs="Times New Roman"/>
        </w:rPr>
        <w:t>Linguist consultant –</w:t>
      </w:r>
      <w:r w:rsidRPr="00914D9C">
        <w:rPr>
          <w:rFonts w:eastAsia="Times New Roman" w:cs="Times New Roman"/>
          <w:i/>
        </w:rPr>
        <w:t xml:space="preserve"> </w:t>
      </w:r>
      <w:r>
        <w:rPr>
          <w:rFonts w:eastAsia="Times New Roman" w:cs="Times New Roman"/>
          <w:iCs/>
        </w:rPr>
        <w:t xml:space="preserve">Professor, </w:t>
      </w:r>
      <w:r w:rsidRPr="00914D9C">
        <w:rPr>
          <w:rFonts w:eastAsia="Times New Roman" w:cs="Times New Roman"/>
          <w:iCs/>
        </w:rPr>
        <w:t>Candidate of Sciences in Philology</w:t>
      </w:r>
      <w:r>
        <w:rPr>
          <w:rFonts w:eastAsia="Times New Roman" w:cs="Times New Roman"/>
          <w:iCs/>
        </w:rPr>
        <w:t xml:space="preserve"> O.K. Titova</w:t>
      </w:r>
      <w:r w:rsidRPr="00305459">
        <w:rPr>
          <w:rFonts w:eastAsia="Times New Roman" w:cs="Times New Roman"/>
          <w:vertAlign w:val="superscript"/>
        </w:rPr>
        <w:t>2</w:t>
      </w:r>
    </w:p>
    <w:p w14:paraId="79A60AD4" w14:textId="77777777" w:rsidR="00FA1AD3" w:rsidRPr="00714A42" w:rsidRDefault="00FA1AD3" w:rsidP="00236553">
      <w:pPr>
        <w:spacing w:after="0"/>
        <w:ind w:firstLine="709"/>
        <w:jc w:val="both"/>
        <w:rPr>
          <w:rFonts w:cs="Times New Roman"/>
        </w:rPr>
      </w:pPr>
    </w:p>
    <w:p w14:paraId="1A224D70" w14:textId="3952DF05" w:rsidR="00305459" w:rsidRDefault="00236553" w:rsidP="00236553">
      <w:pPr>
        <w:spacing w:after="0"/>
        <w:ind w:firstLine="709"/>
        <w:jc w:val="both"/>
        <w:rPr>
          <w:rFonts w:cs="Times New Roman"/>
        </w:rPr>
      </w:pPr>
      <w:r w:rsidRPr="00236553">
        <w:rPr>
          <w:rFonts w:cs="Times New Roman"/>
        </w:rPr>
        <w:t>The competence-based approach is one of the key directions in the development of modern education. It shifts the emphasis from the transmission of theoretical knowledge to the development of students' ability to apply this knowledge in solving professional tasks [1]. Within this approach, the final learning outcome is determined not by a list of concepts that have been memorized, but by a set of formed knowledge, abilities, and skills (KAS). The gradual transition from the acquisition of knowledge to the formation of abilities and skills can be described using Bloom's taxonomy and the educational principle “know – be able to – be proficient in” (KAP) [3] (Figure 1).</w:t>
      </w:r>
    </w:p>
    <w:p w14:paraId="43E54939" w14:textId="077AC930" w:rsidR="00236553" w:rsidRDefault="00943A2F" w:rsidP="00236553">
      <w:pPr>
        <w:spacing w:after="0"/>
        <w:jc w:val="center"/>
      </w:pPr>
      <w:r>
        <w:rPr>
          <w:noProof/>
          <w14:ligatures w14:val="standardContextual"/>
        </w:rPr>
        <w:drawing>
          <wp:inline distT="0" distB="0" distL="0" distR="0" wp14:anchorId="0C84F348" wp14:editId="01A2C79F">
            <wp:extent cx="3288825" cy="2581973"/>
            <wp:effectExtent l="0" t="0" r="635" b="0"/>
            <wp:docPr id="750878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7888" name="Рисунок 75087888"/>
                    <pic:cNvPicPr/>
                  </pic:nvPicPr>
                  <pic:blipFill>
                    <a:blip r:embed="rId5">
                      <a:extLst>
                        <a:ext uri="{28A0092B-C50C-407E-A947-70E740481C1C}">
                          <a14:useLocalDpi xmlns:a14="http://schemas.microsoft.com/office/drawing/2010/main" val="0"/>
                        </a:ext>
                      </a:extLst>
                    </a:blip>
                    <a:stretch>
                      <a:fillRect/>
                    </a:stretch>
                  </pic:blipFill>
                  <pic:spPr>
                    <a:xfrm>
                      <a:off x="0" y="0"/>
                      <a:ext cx="3312244" cy="2600359"/>
                    </a:xfrm>
                    <a:prstGeom prst="rect">
                      <a:avLst/>
                    </a:prstGeom>
                  </pic:spPr>
                </pic:pic>
              </a:graphicData>
            </a:graphic>
          </wp:inline>
        </w:drawing>
      </w:r>
    </w:p>
    <w:p w14:paraId="4E36E2E0" w14:textId="77777777" w:rsidR="00236553" w:rsidRDefault="00236553" w:rsidP="00236553">
      <w:pPr>
        <w:spacing w:after="0"/>
        <w:jc w:val="center"/>
      </w:pPr>
      <w:r>
        <w:rPr>
          <w:rFonts w:eastAsia="Times New Roman"/>
        </w:rPr>
        <w:t>Fig</w:t>
      </w:r>
      <w:r>
        <w:t>.</w:t>
      </w:r>
      <w:r>
        <w:rPr>
          <w:rFonts w:eastAsia="Times New Roman"/>
        </w:rPr>
        <w:t xml:space="preserve"> 1. Development of KAS based on Bloom's taxonomy and the K</w:t>
      </w:r>
      <w:r>
        <w:t>A</w:t>
      </w:r>
      <w:r>
        <w:rPr>
          <w:rFonts w:eastAsia="Times New Roman"/>
        </w:rPr>
        <w:t>P principle</w:t>
      </w:r>
    </w:p>
    <w:p w14:paraId="37089825" w14:textId="77777777" w:rsidR="00236553" w:rsidRPr="00236553" w:rsidRDefault="00236553" w:rsidP="00236553">
      <w:pPr>
        <w:spacing w:after="0"/>
        <w:ind w:firstLine="709"/>
        <w:jc w:val="both"/>
        <w:rPr>
          <w:rFonts w:cs="Times New Roman"/>
        </w:rPr>
      </w:pPr>
      <w:r w:rsidRPr="00236553">
        <w:rPr>
          <w:rFonts w:cs="Times New Roman"/>
        </w:rPr>
        <w:t>Contemporary knowledge assessment systems predominantly focus on evaluating students' theoretical knowledge, thereby addressing exclusively the lowest tiers of the taxonomy: the “know” level. However, the mere acquisition of theoretical knowledge alone is not sufficient for the formation of competencies.</w:t>
      </w:r>
    </w:p>
    <w:p w14:paraId="59B30575" w14:textId="5FC19FAD" w:rsidR="00236553" w:rsidRDefault="00236553" w:rsidP="00236553">
      <w:pPr>
        <w:spacing w:after="0"/>
        <w:ind w:firstLine="709"/>
        <w:jc w:val="both"/>
        <w:rPr>
          <w:rFonts w:cs="Times New Roman"/>
        </w:rPr>
      </w:pPr>
      <w:r w:rsidRPr="00236553">
        <w:rPr>
          <w:rFonts w:cs="Times New Roman"/>
        </w:rPr>
        <w:t>In response to this challenge, an adaptive knowledge and skills assessment system “Competence Hub” is currently being developed for the Department of Software Engineering and Artificial Intelligence at Far Eastern Federal University. The system is based on the principles described above. It formalizes learning material through KAP levels, which makes it possible to assess not only the acquisition of theoretical knowledge, but also the formation of practical abilities and skills.</w:t>
      </w:r>
    </w:p>
    <w:p w14:paraId="4D23E093" w14:textId="36456A82" w:rsidR="00236553" w:rsidRDefault="00236553" w:rsidP="00236553">
      <w:pPr>
        <w:spacing w:after="0"/>
        <w:ind w:firstLine="709"/>
        <w:jc w:val="both"/>
        <w:rPr>
          <w:rFonts w:cs="Times New Roman"/>
        </w:rPr>
      </w:pPr>
      <w:r w:rsidRPr="00236553">
        <w:rPr>
          <w:rFonts w:cs="Times New Roman"/>
        </w:rPr>
        <w:t xml:space="preserve">For this purpose, the system structures learning material as a knowledge graph that includes a set of interconnected topics (Figure 2a). Each topic, in turn, consists of KAP elements (Figure 2b). A “know” element describes a basic theoretical unit of the learning material and includes </w:t>
      </w:r>
      <w:r w:rsidRPr="00236553">
        <w:rPr>
          <w:rFonts w:cs="Times New Roman"/>
        </w:rPr>
        <w:lastRenderedPageBreak/>
        <w:t xml:space="preserve">information necessary for understanding the corresponding concept. A “be able to” element describes a practical action performed </w:t>
      </w:r>
      <w:proofErr w:type="gramStart"/>
      <w:r w:rsidRPr="00236553">
        <w:rPr>
          <w:rFonts w:cs="Times New Roman"/>
        </w:rPr>
        <w:t>on the basis of</w:t>
      </w:r>
      <w:proofErr w:type="gramEnd"/>
      <w:r w:rsidRPr="00236553">
        <w:rPr>
          <w:rFonts w:cs="Times New Roman"/>
        </w:rPr>
        <w:t xml:space="preserve"> previously acquired knowledge and includes an algorithm for carrying it out. A “be proficient in” element reflects the student's ability to apply the formed knowledge and abilities in the context of a specific subject area.</w:t>
      </w:r>
    </w:p>
    <w:p w14:paraId="5ED9C249" w14:textId="77777777" w:rsidR="00236553" w:rsidRDefault="00236553" w:rsidP="00236553">
      <w:pPr>
        <w:spacing w:after="0"/>
        <w:jc w:val="center"/>
      </w:pPr>
      <w:r>
        <w:rPr>
          <w:rFonts w:cs="Times New Roman"/>
        </w:rPr>
        <w:t>a</w:t>
      </w:r>
      <w:r w:rsidRPr="00C95A1D">
        <w:rPr>
          <w:rFonts w:cs="Times New Roman"/>
        </w:rPr>
        <w:t>)</w:t>
      </w:r>
      <w:r w:rsidRPr="00C95A1D">
        <w:rPr>
          <w:rFonts w:cs="Times New Roman"/>
          <w:noProof/>
        </w:rPr>
        <w:drawing>
          <wp:inline distT="0" distB="0" distL="0" distR="0" wp14:anchorId="7AA2B8E7" wp14:editId="4F9C754C">
            <wp:extent cx="2209800" cy="1994308"/>
            <wp:effectExtent l="0" t="0" r="0" b="0"/>
            <wp:docPr id="1646278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8634" name=""/>
                    <pic:cNvPicPr/>
                  </pic:nvPicPr>
                  <pic:blipFill rotWithShape="1">
                    <a:blip r:embed="rId6"/>
                    <a:srcRect l="3616" t="2797" r="5990" b="2598"/>
                    <a:stretch/>
                  </pic:blipFill>
                  <pic:spPr bwMode="auto">
                    <a:xfrm>
                      <a:off x="0" y="0"/>
                      <a:ext cx="2271321" cy="2049829"/>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rPr>
        <w:t>b)</w:t>
      </w:r>
      <w:r w:rsidRPr="00C95A1D">
        <w:rPr>
          <w:rFonts w:cs="Times New Roman"/>
          <w:noProof/>
        </w:rPr>
        <w:drawing>
          <wp:inline distT="0" distB="0" distL="0" distR="0" wp14:anchorId="404CB65B" wp14:editId="1DF1F8A8">
            <wp:extent cx="3198380" cy="2261602"/>
            <wp:effectExtent l="0" t="0" r="2540" b="0"/>
            <wp:docPr id="381291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91223" name=""/>
                    <pic:cNvPicPr/>
                  </pic:nvPicPr>
                  <pic:blipFill>
                    <a:blip r:embed="rId7"/>
                    <a:stretch>
                      <a:fillRect/>
                    </a:stretch>
                  </pic:blipFill>
                  <pic:spPr>
                    <a:xfrm>
                      <a:off x="0" y="0"/>
                      <a:ext cx="3270225" cy="2312404"/>
                    </a:xfrm>
                    <a:prstGeom prst="rect">
                      <a:avLst/>
                    </a:prstGeom>
                  </pic:spPr>
                </pic:pic>
              </a:graphicData>
            </a:graphic>
          </wp:inline>
        </w:drawing>
      </w:r>
    </w:p>
    <w:p w14:paraId="62FF63C0" w14:textId="77777777" w:rsidR="00236553" w:rsidRDefault="00236553" w:rsidP="00236553">
      <w:pPr>
        <w:spacing w:after="0"/>
        <w:jc w:val="center"/>
      </w:pPr>
      <w:r>
        <w:rPr>
          <w:rFonts w:eastAsia="Times New Roman"/>
        </w:rPr>
        <w:t>Fig</w:t>
      </w:r>
      <w:r>
        <w:t>.</w:t>
      </w:r>
      <w:r>
        <w:rPr>
          <w:rFonts w:eastAsia="Times New Roman"/>
        </w:rPr>
        <w:t xml:space="preserve"> 2. Knowledge graph using graph theory as an example: topics (a), K</w:t>
      </w:r>
      <w:r>
        <w:t>A</w:t>
      </w:r>
      <w:r>
        <w:rPr>
          <w:rFonts w:eastAsia="Times New Roman"/>
        </w:rPr>
        <w:t>P elements of the topic “Basic graph concepts” (b)</w:t>
      </w:r>
    </w:p>
    <w:p w14:paraId="2A5DF78F" w14:textId="77777777" w:rsidR="00236553" w:rsidRPr="00236553" w:rsidRDefault="00236553" w:rsidP="00236553">
      <w:pPr>
        <w:spacing w:after="0"/>
        <w:ind w:firstLine="709"/>
        <w:jc w:val="both"/>
        <w:rPr>
          <w:rFonts w:cs="Times New Roman"/>
        </w:rPr>
      </w:pPr>
      <w:r w:rsidRPr="00236553">
        <w:rPr>
          <w:rFonts w:cs="Times New Roman"/>
        </w:rPr>
        <w:t>Relations are explicitly established both between topics and between KSA elements. Inter-topic links serve to determine the requisite sequence of their mastery, while inter-element links capture the logical, compositional, hierarchical, and semantic dependencies among the knowledge, skills, and abilities.</w:t>
      </w:r>
    </w:p>
    <w:p w14:paraId="71EEEEEE" w14:textId="77777777" w:rsidR="00236553" w:rsidRPr="00236553" w:rsidRDefault="00236553" w:rsidP="00236553">
      <w:pPr>
        <w:spacing w:after="0"/>
        <w:ind w:firstLine="709"/>
        <w:jc w:val="both"/>
        <w:rPr>
          <w:rFonts w:cs="Times New Roman"/>
        </w:rPr>
      </w:pPr>
      <w:r w:rsidRPr="00236553">
        <w:rPr>
          <w:rFonts w:cs="Times New Roman"/>
        </w:rPr>
        <w:t>Based on these established relations, a learning trajectory is constructed, specifying the scope and sequence of topics and KAP elements to be mastered. The generation of such a trajectory is necessitated by the fact that a particular learning process covers not the entire body of discipline's content, but only those topics and KAP elements selected by the teacher in alignment with the learning objectives. In this way, the basis for adaptive assessment is formed. Specifically, the outcomes of completed assessment tasks are aligned with the relevant KAP elements from the student's learning trajectory. Such alignment allows gaps in material mastery to be identified and then accounted for in the selection of the next task, thereby closing the adaptive feedback loop.</w:t>
      </w:r>
    </w:p>
    <w:p w14:paraId="1077CBFF" w14:textId="54869DC8" w:rsidR="00236553" w:rsidRDefault="00236553" w:rsidP="00236553">
      <w:pPr>
        <w:spacing w:after="0"/>
        <w:ind w:firstLine="709"/>
        <w:jc w:val="both"/>
        <w:rPr>
          <w:rFonts w:cs="Times New Roman"/>
        </w:rPr>
      </w:pPr>
      <w:r w:rsidRPr="00236553">
        <w:rPr>
          <w:rFonts w:cs="Times New Roman"/>
        </w:rPr>
        <w:t>Figure 3 presents the high-level client-server architecture of the system under development. It includes three main components essential for implementing the approach described above: the KAP management subsystem, the trajectory management subsystem, and the assessment subsystem</w:t>
      </w:r>
      <w:r>
        <w:rPr>
          <w:rFonts w:cs="Times New Roman"/>
        </w:rPr>
        <w:t>.</w:t>
      </w:r>
    </w:p>
    <w:p w14:paraId="13F30C28" w14:textId="77777777" w:rsidR="00236553" w:rsidRPr="00485F11" w:rsidRDefault="00236553" w:rsidP="00236553">
      <w:pPr>
        <w:jc w:val="center"/>
      </w:pPr>
      <w:r>
        <w:rPr>
          <w:rFonts w:cs="Times New Roman"/>
          <w:noProof/>
        </w:rPr>
        <w:drawing>
          <wp:inline distT="0" distB="0" distL="0" distR="0" wp14:anchorId="44DD356F" wp14:editId="3335193E">
            <wp:extent cx="4778044" cy="2037373"/>
            <wp:effectExtent l="0" t="0" r="0" b="0"/>
            <wp:docPr id="150181588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15885" name="Рисунок 15018158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25220" cy="2057489"/>
                    </a:xfrm>
                    <a:prstGeom prst="rect">
                      <a:avLst/>
                    </a:prstGeom>
                  </pic:spPr>
                </pic:pic>
              </a:graphicData>
            </a:graphic>
          </wp:inline>
        </w:drawing>
      </w:r>
    </w:p>
    <w:p w14:paraId="6E260D68" w14:textId="77777777" w:rsidR="00236553" w:rsidRDefault="00236553" w:rsidP="00236553">
      <w:pPr>
        <w:jc w:val="center"/>
      </w:pPr>
      <w:r>
        <w:rPr>
          <w:rFonts w:eastAsia="Times New Roman"/>
        </w:rPr>
        <w:t>Fig</w:t>
      </w:r>
      <w:r>
        <w:t>.</w:t>
      </w:r>
      <w:r>
        <w:rPr>
          <w:rFonts w:eastAsia="Times New Roman"/>
        </w:rPr>
        <w:t xml:space="preserve"> 3. High-level conceptual architecture of “Competence Hub”</w:t>
      </w:r>
    </w:p>
    <w:p w14:paraId="3BA79F6C" w14:textId="77777777" w:rsidR="005B76FE" w:rsidRPr="005B76FE" w:rsidRDefault="005B76FE" w:rsidP="005B76FE">
      <w:pPr>
        <w:spacing w:after="0"/>
        <w:ind w:firstLine="709"/>
        <w:jc w:val="both"/>
        <w:rPr>
          <w:rFonts w:cs="Times New Roman"/>
        </w:rPr>
      </w:pPr>
      <w:r w:rsidRPr="005B76FE">
        <w:rPr>
          <w:rFonts w:cs="Times New Roman"/>
          <w:b/>
          <w:bCs/>
        </w:rPr>
        <w:lastRenderedPageBreak/>
        <w:t>The KAP management subsystem</w:t>
      </w:r>
      <w:r w:rsidRPr="005B76FE">
        <w:rPr>
          <w:rFonts w:cs="Times New Roman"/>
        </w:rPr>
        <w:t xml:space="preserve"> is intended for describing the learning material of a discipline. It supports the creation of topics, KAP elements, and relations between topics and between individual elements.</w:t>
      </w:r>
    </w:p>
    <w:p w14:paraId="289BBCCA" w14:textId="77777777" w:rsidR="005B76FE" w:rsidRPr="005B76FE" w:rsidRDefault="005B76FE" w:rsidP="005B76FE">
      <w:pPr>
        <w:spacing w:after="0"/>
        <w:ind w:firstLine="709"/>
        <w:jc w:val="both"/>
        <w:rPr>
          <w:rFonts w:cs="Times New Roman"/>
        </w:rPr>
      </w:pPr>
      <w:r w:rsidRPr="005B76FE">
        <w:rPr>
          <w:rFonts w:cs="Times New Roman"/>
          <w:b/>
          <w:bCs/>
        </w:rPr>
        <w:t>The trajectory management subsystem</w:t>
      </w:r>
      <w:r w:rsidRPr="005B76FE">
        <w:rPr>
          <w:rFonts w:cs="Times New Roman"/>
        </w:rPr>
        <w:t xml:space="preserve"> allows teachers to create learning trajectories </w:t>
      </w:r>
      <w:proofErr w:type="gramStart"/>
      <w:r w:rsidRPr="005B76FE">
        <w:rPr>
          <w:rFonts w:cs="Times New Roman"/>
        </w:rPr>
        <w:t>on the basis of</w:t>
      </w:r>
      <w:proofErr w:type="gramEnd"/>
      <w:r w:rsidRPr="005B76FE">
        <w:rPr>
          <w:rFonts w:cs="Times New Roman"/>
        </w:rPr>
        <w:t xml:space="preserve"> the discipline’s knowledge graph. Using this subsystem, a teacher can select thematic modules and KBP elements relevant to a particular educational program and define the sequence in which they should be mastered.</w:t>
      </w:r>
    </w:p>
    <w:p w14:paraId="759944D8" w14:textId="79A660F4" w:rsidR="00236553" w:rsidRDefault="005B76FE" w:rsidP="005B76FE">
      <w:pPr>
        <w:spacing w:after="0"/>
        <w:ind w:firstLine="709"/>
        <w:jc w:val="both"/>
        <w:rPr>
          <w:rFonts w:cs="Times New Roman"/>
        </w:rPr>
      </w:pPr>
      <w:r w:rsidRPr="005B76FE">
        <w:rPr>
          <w:rFonts w:cs="Times New Roman"/>
          <w:b/>
          <w:bCs/>
        </w:rPr>
        <w:t>The assessment subsystem</w:t>
      </w:r>
      <w:r w:rsidRPr="005B76FE">
        <w:rPr>
          <w:rFonts w:cs="Times New Roman"/>
        </w:rPr>
        <w:t xml:space="preserve"> provides students with assessment tasks, processes their answers, and records the results.</w:t>
      </w:r>
    </w:p>
    <w:p w14:paraId="4F8026AE" w14:textId="77777777" w:rsidR="005B76FE" w:rsidRDefault="005B76FE" w:rsidP="005B76FE">
      <w:pPr>
        <w:spacing w:after="0"/>
        <w:ind w:firstLine="709"/>
        <w:jc w:val="both"/>
        <w:rPr>
          <w:rFonts w:cs="Times New Roman"/>
        </w:rPr>
      </w:pPr>
    </w:p>
    <w:p w14:paraId="242BCF72" w14:textId="09FCB9F4" w:rsidR="005B76FE" w:rsidRDefault="005B76FE" w:rsidP="005B76FE">
      <w:pPr>
        <w:spacing w:after="0"/>
        <w:jc w:val="center"/>
        <w:rPr>
          <w:rFonts w:cs="Times New Roman"/>
          <w:i/>
          <w:iCs/>
        </w:rPr>
      </w:pPr>
      <w:r w:rsidRPr="005B76FE">
        <w:rPr>
          <w:rFonts w:cs="Times New Roman"/>
          <w:i/>
          <w:iCs/>
        </w:rPr>
        <w:t>References</w:t>
      </w:r>
    </w:p>
    <w:p w14:paraId="074EE0FB" w14:textId="53FD58D2" w:rsidR="005B76FE" w:rsidRPr="005B76FE" w:rsidRDefault="005B76FE" w:rsidP="005B76FE">
      <w:pPr>
        <w:pStyle w:val="a7"/>
        <w:numPr>
          <w:ilvl w:val="0"/>
          <w:numId w:val="1"/>
        </w:numPr>
        <w:tabs>
          <w:tab w:val="left" w:pos="1134"/>
        </w:tabs>
        <w:spacing w:after="0"/>
        <w:ind w:left="0" w:firstLine="709"/>
        <w:jc w:val="both"/>
        <w:rPr>
          <w:rFonts w:cs="Times New Roman"/>
        </w:rPr>
      </w:pPr>
      <w:proofErr w:type="spellStart"/>
      <w:r w:rsidRPr="005B76FE">
        <w:rPr>
          <w:rFonts w:cs="Times New Roman"/>
        </w:rPr>
        <w:t>Khutorskoy</w:t>
      </w:r>
      <w:proofErr w:type="spellEnd"/>
      <w:r w:rsidRPr="005B76FE">
        <w:rPr>
          <w:rFonts w:cs="Times New Roman"/>
        </w:rPr>
        <w:t xml:space="preserve">, A. V. Competence-based education model / A. V. </w:t>
      </w:r>
      <w:proofErr w:type="spellStart"/>
      <w:r w:rsidRPr="005B76FE">
        <w:rPr>
          <w:rFonts w:cs="Times New Roman"/>
        </w:rPr>
        <w:t>Khutorskoy</w:t>
      </w:r>
      <w:proofErr w:type="spellEnd"/>
      <w:r w:rsidRPr="005B76FE">
        <w:rPr>
          <w:rFonts w:cs="Times New Roman"/>
        </w:rPr>
        <w:t xml:space="preserve"> // Higher Education Today. – 2017. – N 12. – URL: </w:t>
      </w:r>
      <w:hyperlink r:id="rId9" w:history="1">
        <w:r w:rsidRPr="005B76FE">
          <w:rPr>
            <w:rStyle w:val="ac"/>
            <w:rFonts w:cs="Times New Roman"/>
          </w:rPr>
          <w:t>https://cyberleninka.ru/article/n/model-kompetentnostnogo-obrazovaniya</w:t>
        </w:r>
      </w:hyperlink>
      <w:r w:rsidRPr="005B76FE">
        <w:rPr>
          <w:rFonts w:cs="Times New Roman"/>
        </w:rPr>
        <w:t xml:space="preserve"> (Accessed on: 10.05.2026). (In Russ.)</w:t>
      </w:r>
    </w:p>
    <w:p w14:paraId="0A3C905C" w14:textId="1B7F18DD" w:rsidR="005B76FE" w:rsidRPr="005B76FE" w:rsidRDefault="005B76FE" w:rsidP="005B76FE">
      <w:pPr>
        <w:pStyle w:val="a7"/>
        <w:numPr>
          <w:ilvl w:val="0"/>
          <w:numId w:val="1"/>
        </w:numPr>
        <w:tabs>
          <w:tab w:val="left" w:pos="1134"/>
        </w:tabs>
        <w:spacing w:after="0"/>
        <w:ind w:left="0" w:firstLine="709"/>
        <w:jc w:val="both"/>
        <w:rPr>
          <w:rFonts w:cs="Times New Roman"/>
        </w:rPr>
      </w:pPr>
      <w:r w:rsidRPr="005B76FE">
        <w:rPr>
          <w:rFonts w:cs="Times New Roman"/>
        </w:rPr>
        <w:t xml:space="preserve">Bloom, B. S. Taxonomy of Educational Objectives: The Classification of Educational Goals. Handbook I: Cognitive Domain / B. S. Bloom, M. D. Engelhart, E. J. Furst, W. H. Hill, D. R. Krathwohl. – New </w:t>
      </w:r>
      <w:proofErr w:type="gramStart"/>
      <w:r w:rsidRPr="005B76FE">
        <w:rPr>
          <w:rFonts w:cs="Times New Roman"/>
        </w:rPr>
        <w:t>York :</w:t>
      </w:r>
      <w:proofErr w:type="gramEnd"/>
      <w:r w:rsidRPr="005B76FE">
        <w:rPr>
          <w:rFonts w:cs="Times New Roman"/>
        </w:rPr>
        <w:t xml:space="preserve"> David McKay Company, 1956. – 207 p. – URL: </w:t>
      </w:r>
      <w:hyperlink r:id="rId10" w:history="1">
        <w:r w:rsidRPr="005B76FE">
          <w:rPr>
            <w:rStyle w:val="ac"/>
            <w:rFonts w:cs="Times New Roman"/>
          </w:rPr>
          <w:t>https://archive.org/details/taxonomyofeducat0000bloo_o9o7</w:t>
        </w:r>
      </w:hyperlink>
      <w:r w:rsidRPr="005B76FE">
        <w:rPr>
          <w:rFonts w:cs="Times New Roman"/>
        </w:rPr>
        <w:t xml:space="preserve"> (Accessed on: 12.05.2026).</w:t>
      </w:r>
    </w:p>
    <w:p w14:paraId="4086F4C2" w14:textId="10E9A753" w:rsidR="005B76FE" w:rsidRPr="005B76FE" w:rsidRDefault="005B76FE" w:rsidP="005B76FE">
      <w:pPr>
        <w:pStyle w:val="a7"/>
        <w:numPr>
          <w:ilvl w:val="0"/>
          <w:numId w:val="1"/>
        </w:numPr>
        <w:tabs>
          <w:tab w:val="left" w:pos="1134"/>
        </w:tabs>
        <w:spacing w:after="0"/>
        <w:ind w:left="0" w:firstLine="709"/>
        <w:jc w:val="both"/>
        <w:rPr>
          <w:rFonts w:cs="Times New Roman"/>
        </w:rPr>
      </w:pPr>
      <w:proofErr w:type="spellStart"/>
      <w:r w:rsidRPr="005B76FE">
        <w:rPr>
          <w:rFonts w:cs="Times New Roman"/>
        </w:rPr>
        <w:t>Andryushenkova</w:t>
      </w:r>
      <w:proofErr w:type="spellEnd"/>
      <w:r w:rsidRPr="005B76FE">
        <w:rPr>
          <w:rFonts w:cs="Times New Roman"/>
        </w:rPr>
        <w:t xml:space="preserve">, N. A. Implementation of the principle “Know, be able </w:t>
      </w:r>
      <w:proofErr w:type="gramStart"/>
      <w:r w:rsidRPr="005B76FE">
        <w:rPr>
          <w:rFonts w:cs="Times New Roman"/>
        </w:rPr>
        <w:t>to,</w:t>
      </w:r>
      <w:proofErr w:type="gramEnd"/>
      <w:r w:rsidRPr="005B76FE">
        <w:rPr>
          <w:rFonts w:cs="Times New Roman"/>
        </w:rPr>
        <w:t xml:space="preserve"> be proficient in” in the training of future specialists at the Department of Surgical Dentistry and Maxillofacial Surgery of SSMU / N. A. </w:t>
      </w:r>
      <w:proofErr w:type="spellStart"/>
      <w:r w:rsidRPr="005B76FE">
        <w:rPr>
          <w:rFonts w:cs="Times New Roman"/>
        </w:rPr>
        <w:t>Andryushenkova</w:t>
      </w:r>
      <w:proofErr w:type="spellEnd"/>
      <w:r w:rsidRPr="005B76FE">
        <w:rPr>
          <w:rFonts w:cs="Times New Roman"/>
        </w:rPr>
        <w:t>, M. V. Sotnikova // Smolensk Medical Almanac. – 2017. – N 2. – URL: https://cyberleninka.ru/article/n/realizatsiya-printsipa-znat-umet-vladet-v-podgotovke-buduschih-spetsialistov-na-kafedre-hirurgicheskoy-stomatologii-i-chelyusto (Accessed on: 12.05.2026). (In Russ.)</w:t>
      </w:r>
    </w:p>
    <w:sectPr w:rsidR="005B76FE" w:rsidRPr="005B76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C4397"/>
    <w:multiLevelType w:val="hybridMultilevel"/>
    <w:tmpl w:val="7EAAB39A"/>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11490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93C"/>
    <w:rsid w:val="001F15A1"/>
    <w:rsid w:val="00236553"/>
    <w:rsid w:val="00242D62"/>
    <w:rsid w:val="00305459"/>
    <w:rsid w:val="00326FFB"/>
    <w:rsid w:val="005B76FE"/>
    <w:rsid w:val="00714A42"/>
    <w:rsid w:val="00896807"/>
    <w:rsid w:val="00943A2F"/>
    <w:rsid w:val="00CC4B31"/>
    <w:rsid w:val="00CE293C"/>
    <w:rsid w:val="00FA1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D8CAFE7"/>
  <w15:chartTrackingRefBased/>
  <w15:docId w15:val="{5B764A48-1216-0D47-B646-2E47F605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459"/>
    <w:pPr>
      <w:spacing w:after="200" w:line="276" w:lineRule="auto"/>
    </w:pPr>
    <w:rPr>
      <w:rFonts w:ascii="Times New Roman" w:eastAsiaTheme="minorEastAsia" w:hAnsi="Times New Roman"/>
      <w:kern w:val="0"/>
      <w:szCs w:val="22"/>
      <w:lang w:val="en-US"/>
      <w14:ligatures w14:val="none"/>
    </w:rPr>
  </w:style>
  <w:style w:type="paragraph" w:styleId="1">
    <w:name w:val="heading 1"/>
    <w:basedOn w:val="a"/>
    <w:next w:val="a"/>
    <w:link w:val="10"/>
    <w:uiPriority w:val="9"/>
    <w:qFormat/>
    <w:rsid w:val="00CE2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E2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E293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E293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E29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29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29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29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29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293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E293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E293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E293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E293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E29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E293C"/>
    <w:rPr>
      <w:rFonts w:eastAsiaTheme="majorEastAsia" w:cstheme="majorBidi"/>
      <w:color w:val="595959" w:themeColor="text1" w:themeTint="A6"/>
    </w:rPr>
  </w:style>
  <w:style w:type="character" w:customStyle="1" w:styleId="80">
    <w:name w:val="Заголовок 8 Знак"/>
    <w:basedOn w:val="a0"/>
    <w:link w:val="8"/>
    <w:uiPriority w:val="9"/>
    <w:semiHidden/>
    <w:rsid w:val="00CE29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E293C"/>
    <w:rPr>
      <w:rFonts w:eastAsiaTheme="majorEastAsia" w:cstheme="majorBidi"/>
      <w:color w:val="272727" w:themeColor="text1" w:themeTint="D8"/>
    </w:rPr>
  </w:style>
  <w:style w:type="paragraph" w:styleId="a3">
    <w:name w:val="Title"/>
    <w:basedOn w:val="a"/>
    <w:next w:val="a"/>
    <w:link w:val="a4"/>
    <w:uiPriority w:val="10"/>
    <w:qFormat/>
    <w:rsid w:val="00CE2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29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293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E29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293C"/>
    <w:pPr>
      <w:spacing w:before="160"/>
      <w:jc w:val="center"/>
    </w:pPr>
    <w:rPr>
      <w:i/>
      <w:iCs/>
      <w:color w:val="404040" w:themeColor="text1" w:themeTint="BF"/>
    </w:rPr>
  </w:style>
  <w:style w:type="character" w:customStyle="1" w:styleId="22">
    <w:name w:val="Цитата 2 Знак"/>
    <w:basedOn w:val="a0"/>
    <w:link w:val="21"/>
    <w:uiPriority w:val="29"/>
    <w:rsid w:val="00CE293C"/>
    <w:rPr>
      <w:i/>
      <w:iCs/>
      <w:color w:val="404040" w:themeColor="text1" w:themeTint="BF"/>
    </w:rPr>
  </w:style>
  <w:style w:type="paragraph" w:styleId="a7">
    <w:name w:val="List Paragraph"/>
    <w:basedOn w:val="a"/>
    <w:uiPriority w:val="34"/>
    <w:qFormat/>
    <w:rsid w:val="00CE293C"/>
    <w:pPr>
      <w:ind w:left="720"/>
      <w:contextualSpacing/>
    </w:pPr>
  </w:style>
  <w:style w:type="character" w:styleId="a8">
    <w:name w:val="Intense Emphasis"/>
    <w:basedOn w:val="a0"/>
    <w:uiPriority w:val="21"/>
    <w:qFormat/>
    <w:rsid w:val="00CE293C"/>
    <w:rPr>
      <w:i/>
      <w:iCs/>
      <w:color w:val="0F4761" w:themeColor="accent1" w:themeShade="BF"/>
    </w:rPr>
  </w:style>
  <w:style w:type="paragraph" w:styleId="a9">
    <w:name w:val="Intense Quote"/>
    <w:basedOn w:val="a"/>
    <w:next w:val="a"/>
    <w:link w:val="aa"/>
    <w:uiPriority w:val="30"/>
    <w:qFormat/>
    <w:rsid w:val="00CE2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E293C"/>
    <w:rPr>
      <w:i/>
      <w:iCs/>
      <w:color w:val="0F4761" w:themeColor="accent1" w:themeShade="BF"/>
    </w:rPr>
  </w:style>
  <w:style w:type="character" w:styleId="ab">
    <w:name w:val="Intense Reference"/>
    <w:basedOn w:val="a0"/>
    <w:uiPriority w:val="32"/>
    <w:qFormat/>
    <w:rsid w:val="00CE293C"/>
    <w:rPr>
      <w:b/>
      <w:bCs/>
      <w:smallCaps/>
      <w:color w:val="0F4761" w:themeColor="accent1" w:themeShade="BF"/>
      <w:spacing w:val="5"/>
    </w:rPr>
  </w:style>
  <w:style w:type="character" w:styleId="ac">
    <w:name w:val="Hyperlink"/>
    <w:basedOn w:val="a0"/>
    <w:uiPriority w:val="99"/>
    <w:unhideWhenUsed/>
    <w:rsid w:val="005B76FE"/>
    <w:rPr>
      <w:color w:val="467886" w:themeColor="hyperlink"/>
      <w:u w:val="single"/>
    </w:rPr>
  </w:style>
  <w:style w:type="character" w:styleId="ad">
    <w:name w:val="Unresolved Mention"/>
    <w:basedOn w:val="a0"/>
    <w:uiPriority w:val="99"/>
    <w:semiHidden/>
    <w:unhideWhenUsed/>
    <w:rsid w:val="005B7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31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rchive.org/details/taxonomyofeducat0000bloo_o9o7" TargetMode="External"/><Relationship Id="rId4" Type="http://schemas.openxmlformats.org/officeDocument/2006/relationships/webSettings" Target="webSettings.xml"/><Relationship Id="rId9" Type="http://schemas.openxmlformats.org/officeDocument/2006/relationships/hyperlink" Target="https://cyberleninka.ru/article/n/model-kompetentnostnogo-obrazovaniy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930</Words>
  <Characters>5302</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Шулятьев Артём Андреевич</dc:creator>
  <cp:keywords/>
  <dc:description/>
  <cp:lastModifiedBy>Шулятьев Артём Андреевич</cp:lastModifiedBy>
  <cp:revision>4</cp:revision>
  <dcterms:created xsi:type="dcterms:W3CDTF">2026-05-14T22:36:00Z</dcterms:created>
  <dcterms:modified xsi:type="dcterms:W3CDTF">2026-05-15T00:11:00Z</dcterms:modified>
</cp:coreProperties>
</file>