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Kết quả hoàn chỉnh LightGBM, TFT và Informer — 28/10/2026</w:t>
      </w:r>
    </w:p>
    <w:p>
      <w:r>
        <w:t xml:space="preserve">Đã chạy thêm </w:t>
      </w:r>
      <w:r>
        <w:rPr>
          <w:b/>
        </w:rPr>
        <w:t>54 lượt Informer E1–E6</w:t>
      </w:r>
      <w:r>
        <w:t xml:space="preserve">, cùng hàm fit và protocol pilot. Dùng lại </w:t>
      </w:r>
      <w:r>
        <w:rPr>
          <w:b/>
        </w:rPr>
        <w:t>18 lượt E0/E7</w:t>
      </w:r>
      <w:r>
        <w:t xml:space="preserve">; tổng </w:t>
      </w:r>
      <w:r>
        <w:rPr>
          <w:b/>
        </w:rPr>
        <w:t>72 Informer</w:t>
      </w:r>
      <w:r>
        <w:t xml:space="preserve">, cùng 72 TFT và 24 pipeline LightGBM đã có. Đủ </w:t>
      </w:r>
      <w:r>
        <w:rPr>
          <w:b/>
        </w:rPr>
        <w:t>168 lượt mô hình/pipeline</w:t>
      </w:r>
      <w:r>
        <w:t xml:space="preserve"> và </w:t>
      </w:r>
      <w:r>
        <w:rPr>
          <w:b/>
        </w:rPr>
        <w:t>72 dòng chính</w:t>
      </w:r>
      <w:r>
        <w:t xml:space="preserve"> = tám E × ba mô hình × ba ngày. Không mở test 2025, không tuning hoặc thay bước gộp sáu giờ.</w:t>
      </w:r>
    </w:p>
    <w:p>
      <w:r>
        <w:t>Độc lập phát lại đủ 72 checkpoint Informer trên 144 split calibration/evaluation; tái tạo scaler train và calibration. E0/E7 Informer và toàn bộ điểm TFT/LightGBM giữ nguyên. Có cùng 1.075 mốc/hạn, nhãn, tham chiếu Brier và quy trình chọn ngưỡng trên calibration.</w:t>
      </w:r>
    </w:p>
    <w:p>
      <w:pPr>
        <w:pStyle w:val="Heading1"/>
      </w:pPr>
      <w:r>
        <w:t>Kết quả E7: cùng 44 biến, đủ ba mô hình</w:t>
      </w:r>
    </w:p>
    <w:p>
      <w:pPr>
        <w:pStyle w:val="Heading2"/>
      </w:pPr>
      <w:r>
        <w:t>Ngày 1</w:t>
      </w:r>
    </w:p>
    <w:tbl>
      <w:tblPr>
        <w:tblStyle w:val="LightShading-Accent1"/>
        <w:tblW w:type="auto" w:w="0"/>
        <w:jc w:val="center"/>
        <w:tblLayout w:type="fixed"/>
        <w:tblLook w:firstColumn="1" w:firstRow="1" w:lastColumn="0" w:lastRow="0" w:noHBand="0" w:noVBand="1" w:val="04A0"/>
      </w:tblPr>
      <w:tblGrid>
        <w:gridCol w:w="1071"/>
        <w:gridCol w:w="1071"/>
        <w:gridCol w:w="1071"/>
        <w:gridCol w:w="1071"/>
        <w:gridCol w:w="1071"/>
        <w:gridCol w:w="1071"/>
        <w:gridCol w:w="1071"/>
        <w:gridCol w:w="1071"/>
        <w:gridCol w:w="1071"/>
      </w:tblGrid>
      <w:tr>
        <w:trPr>
          <w:cantSplit/>
          <w:tblHeader/>
        </w:trPr>
        <w:tc>
          <w:tcPr>
            <w:tcW w:type="dxa" w:w="1071"/>
            <w:vAlign w:val="center"/>
          </w:tcPr>
          <w:p>
            <w:pPr>
              <w:spacing w:after="80" w:before="60"/>
            </w:pPr>
            <w:r>
              <w:rPr>
                <w:b/>
                <w:sz w:val="19"/>
              </w:rPr>
              <w:t>Mô hình</w:t>
            </w:r>
          </w:p>
        </w:tc>
        <w:tc>
          <w:tcPr>
            <w:tcW w:type="dxa" w:w="1071"/>
            <w:vAlign w:val="center"/>
          </w:tcPr>
          <w:p>
            <w:pPr>
              <w:spacing w:after="80" w:before="60"/>
            </w:pPr>
            <w:r>
              <w:rPr>
                <w:b/>
                <w:sz w:val="19"/>
              </w:rPr>
              <w:t>RMSE ↓</w:t>
            </w:r>
          </w:p>
        </w:tc>
        <w:tc>
          <w:tcPr>
            <w:tcW w:type="dxa" w:w="1071"/>
            <w:vAlign w:val="center"/>
          </w:tcPr>
          <w:p>
            <w:pPr>
              <w:spacing w:after="80" w:before="60"/>
            </w:pPr>
            <w:r>
              <w:rPr>
                <w:b/>
                <w:sz w:val="19"/>
              </w:rPr>
              <w:t>MAE ↓</w:t>
            </w:r>
          </w:p>
        </w:tc>
        <w:tc>
          <w:tcPr>
            <w:tcW w:type="dxa" w:w="1071"/>
            <w:vAlign w:val="center"/>
          </w:tcPr>
          <w:p>
            <w:pPr>
              <w:spacing w:after="80" w:before="60"/>
            </w:pPr>
            <w:r>
              <w:rPr>
                <w:b/>
                <w:sz w:val="19"/>
              </w:rPr>
              <w:t>Bias ≈0</w:t>
            </w:r>
          </w:p>
        </w:tc>
        <w:tc>
          <w:tcPr>
            <w:tcW w:type="dxa" w:w="1071"/>
            <w:vAlign w:val="center"/>
          </w:tcPr>
          <w:p>
            <w:pPr>
              <w:spacing w:after="80" w:before="60"/>
            </w:pPr>
            <w:r>
              <w:rPr>
                <w:b/>
                <w:sz w:val="19"/>
              </w:rPr>
              <w:t>BS ↓</w:t>
            </w:r>
          </w:p>
        </w:tc>
        <w:tc>
          <w:tcPr>
            <w:tcW w:type="dxa" w:w="1071"/>
            <w:vAlign w:val="center"/>
          </w:tcPr>
          <w:p>
            <w:pPr>
              <w:spacing w:after="80" w:before="60"/>
            </w:pPr>
            <w:r>
              <w:rPr>
                <w:b/>
                <w:sz w:val="19"/>
              </w:rPr>
              <w:t>BSS ↑</w:t>
            </w:r>
          </w:p>
        </w:tc>
        <w:tc>
          <w:tcPr>
            <w:tcW w:type="dxa" w:w="1071"/>
            <w:vAlign w:val="center"/>
          </w:tcPr>
          <w:p>
            <w:pPr>
              <w:spacing w:after="80" w:before="60"/>
            </w:pPr>
            <w:r>
              <w:rPr>
                <w:b/>
                <w:sz w:val="19"/>
              </w:rPr>
              <w:t>CSI ↑</w:t>
            </w:r>
          </w:p>
        </w:tc>
        <w:tc>
          <w:tcPr>
            <w:tcW w:type="dxa" w:w="1071"/>
            <w:vAlign w:val="center"/>
          </w:tcPr>
          <w:p>
            <w:pPr>
              <w:spacing w:after="80" w:before="60"/>
            </w:pPr>
            <w:r>
              <w:rPr>
                <w:b/>
                <w:sz w:val="19"/>
              </w:rPr>
              <w:t>POD ↑</w:t>
            </w:r>
          </w:p>
        </w:tc>
        <w:tc>
          <w:tcPr>
            <w:tcW w:type="dxa" w:w="1071"/>
            <w:vAlign w:val="center"/>
          </w:tcPr>
          <w:p>
            <w:pPr>
              <w:spacing w:after="80" w:before="60"/>
            </w:pPr>
            <w:r>
              <w:rPr>
                <w:b/>
                <w:sz w:val="19"/>
              </w:rPr>
              <w:t>FAR ↓</w:t>
            </w:r>
          </w:p>
        </w:tc>
      </w:tr>
      <w:tr>
        <w:trPr>
          <w:cantSplit/>
        </w:trPr>
        <w:tc>
          <w:tcPr>
            <w:tcW w:type="dxa" w:w="1071"/>
            <w:vAlign w:val="center"/>
          </w:tcPr>
          <w:p>
            <w:pPr>
              <w:spacing w:after="80" w:before="60"/>
            </w:pPr>
            <w:r>
              <w:rPr>
                <w:sz w:val="19"/>
              </w:rPr>
              <w:t>LightGBM</w:t>
            </w:r>
          </w:p>
        </w:tc>
        <w:tc>
          <w:tcPr>
            <w:tcW w:type="dxa" w:w="1071"/>
            <w:vAlign w:val="center"/>
          </w:tcPr>
          <w:p>
            <w:pPr>
              <w:spacing w:after="80" w:before="60"/>
            </w:pPr>
            <w:r>
              <w:rPr>
                <w:sz w:val="19"/>
              </w:rPr>
              <w:t>17.706</w:t>
            </w:r>
          </w:p>
        </w:tc>
        <w:tc>
          <w:tcPr>
            <w:tcW w:type="dxa" w:w="1071"/>
            <w:vAlign w:val="center"/>
          </w:tcPr>
          <w:p>
            <w:pPr>
              <w:spacing w:after="80" w:before="60"/>
            </w:pPr>
            <w:r>
              <w:rPr>
                <w:sz w:val="19"/>
              </w:rPr>
              <w:t>5.731</w:t>
            </w:r>
          </w:p>
        </w:tc>
        <w:tc>
          <w:tcPr>
            <w:tcW w:type="dxa" w:w="1071"/>
            <w:vAlign w:val="center"/>
          </w:tcPr>
          <w:p>
            <w:pPr>
              <w:spacing w:after="80" w:before="60"/>
            </w:pPr>
            <w:r>
              <w:rPr>
                <w:sz w:val="19"/>
              </w:rPr>
              <w:t>-2.003</w:t>
            </w:r>
          </w:p>
        </w:tc>
        <w:tc>
          <w:tcPr>
            <w:tcW w:type="dxa" w:w="1071"/>
            <w:vAlign w:val="center"/>
          </w:tcPr>
          <w:p>
            <w:pPr>
              <w:spacing w:after="80" w:before="60"/>
            </w:pPr>
            <w:r>
              <w:rPr>
                <w:sz w:val="19"/>
              </w:rPr>
              <w:t>0.058</w:t>
            </w:r>
          </w:p>
        </w:tc>
        <w:tc>
          <w:tcPr>
            <w:tcW w:type="dxa" w:w="1071"/>
            <w:vAlign w:val="center"/>
          </w:tcPr>
          <w:p>
            <w:pPr>
              <w:spacing w:after="80" w:before="60"/>
            </w:pPr>
            <w:r>
              <w:rPr>
                <w:sz w:val="19"/>
              </w:rPr>
              <w:t>0.303</w:t>
            </w:r>
          </w:p>
        </w:tc>
        <w:tc>
          <w:tcPr>
            <w:tcW w:type="dxa" w:w="1071"/>
            <w:vAlign w:val="center"/>
          </w:tcPr>
          <w:p>
            <w:pPr>
              <w:spacing w:after="80" w:before="60"/>
            </w:pPr>
            <w:r>
              <w:rPr>
                <w:sz w:val="19"/>
              </w:rPr>
              <w:t>0.411</w:t>
            </w:r>
          </w:p>
        </w:tc>
        <w:tc>
          <w:tcPr>
            <w:tcW w:type="dxa" w:w="1071"/>
            <w:vAlign w:val="center"/>
          </w:tcPr>
          <w:p>
            <w:pPr>
              <w:spacing w:after="80" w:before="60"/>
            </w:pPr>
            <w:r>
              <w:rPr>
                <w:sz w:val="19"/>
              </w:rPr>
              <w:t>0.526</w:t>
            </w:r>
          </w:p>
        </w:tc>
        <w:tc>
          <w:tcPr>
            <w:tcW w:type="dxa" w:w="1071"/>
            <w:vAlign w:val="center"/>
          </w:tcPr>
          <w:p>
            <w:pPr>
              <w:spacing w:after="80" w:before="60"/>
            </w:pPr>
            <w:r>
              <w:rPr>
                <w:sz w:val="19"/>
              </w:rPr>
              <w:t>0.348</w:t>
            </w:r>
          </w:p>
        </w:tc>
      </w:tr>
      <w:tr>
        <w:trPr>
          <w:cantSplit/>
        </w:trPr>
        <w:tc>
          <w:tcPr>
            <w:tcW w:type="dxa" w:w="1071"/>
            <w:vAlign w:val="center"/>
          </w:tcPr>
          <w:p>
            <w:pPr>
              <w:spacing w:after="80" w:before="60"/>
            </w:pPr>
            <w:r>
              <w:rPr>
                <w:sz w:val="19"/>
              </w:rPr>
              <w:t>TFT</w:t>
            </w:r>
          </w:p>
        </w:tc>
        <w:tc>
          <w:tcPr>
            <w:tcW w:type="dxa" w:w="1071"/>
            <w:vAlign w:val="center"/>
          </w:tcPr>
          <w:p>
            <w:pPr>
              <w:spacing w:after="80" w:before="60"/>
            </w:pPr>
            <w:r>
              <w:rPr>
                <w:sz w:val="19"/>
              </w:rPr>
              <w:t>20.361</w:t>
            </w:r>
          </w:p>
        </w:tc>
        <w:tc>
          <w:tcPr>
            <w:tcW w:type="dxa" w:w="1071"/>
            <w:vAlign w:val="center"/>
          </w:tcPr>
          <w:p>
            <w:pPr>
              <w:spacing w:after="80" w:before="60"/>
            </w:pPr>
            <w:r>
              <w:rPr>
                <w:sz w:val="19"/>
              </w:rPr>
              <w:t>6.695</w:t>
            </w:r>
          </w:p>
        </w:tc>
        <w:tc>
          <w:tcPr>
            <w:tcW w:type="dxa" w:w="1071"/>
            <w:vAlign w:val="center"/>
          </w:tcPr>
          <w:p>
            <w:pPr>
              <w:spacing w:after="80" w:before="60"/>
            </w:pPr>
            <w:r>
              <w:rPr>
                <w:sz w:val="19"/>
              </w:rPr>
              <w:t>-2.710</w:t>
            </w:r>
          </w:p>
        </w:tc>
        <w:tc>
          <w:tcPr>
            <w:tcW w:type="dxa" w:w="1071"/>
            <w:vAlign w:val="center"/>
          </w:tcPr>
          <w:p>
            <w:pPr>
              <w:spacing w:after="80" w:before="60"/>
            </w:pPr>
            <w:r>
              <w:rPr>
                <w:sz w:val="19"/>
              </w:rPr>
              <w:t>0.062</w:t>
            </w:r>
          </w:p>
        </w:tc>
        <w:tc>
          <w:tcPr>
            <w:tcW w:type="dxa" w:w="1071"/>
            <w:vAlign w:val="center"/>
          </w:tcPr>
          <w:p>
            <w:pPr>
              <w:spacing w:after="80" w:before="60"/>
            </w:pPr>
            <w:r>
              <w:rPr>
                <w:sz w:val="19"/>
              </w:rPr>
              <w:t>0.246</w:t>
            </w:r>
          </w:p>
        </w:tc>
        <w:tc>
          <w:tcPr>
            <w:tcW w:type="dxa" w:w="1071"/>
            <w:vAlign w:val="center"/>
          </w:tcPr>
          <w:p>
            <w:pPr>
              <w:spacing w:after="80" w:before="60"/>
            </w:pPr>
            <w:r>
              <w:rPr>
                <w:sz w:val="19"/>
              </w:rPr>
              <w:t>0.406</w:t>
            </w:r>
          </w:p>
        </w:tc>
        <w:tc>
          <w:tcPr>
            <w:tcW w:type="dxa" w:w="1071"/>
            <w:vAlign w:val="center"/>
          </w:tcPr>
          <w:p>
            <w:pPr>
              <w:spacing w:after="80" w:before="60"/>
            </w:pPr>
            <w:r>
              <w:rPr>
                <w:sz w:val="19"/>
              </w:rPr>
              <w:t>0.640</w:t>
            </w:r>
          </w:p>
        </w:tc>
        <w:tc>
          <w:tcPr>
            <w:tcW w:type="dxa" w:w="1071"/>
            <w:vAlign w:val="center"/>
          </w:tcPr>
          <w:p>
            <w:pPr>
              <w:spacing w:after="80" w:before="60"/>
            </w:pPr>
            <w:r>
              <w:rPr>
                <w:sz w:val="19"/>
              </w:rPr>
              <w:t>0.475</w:t>
            </w:r>
          </w:p>
        </w:tc>
      </w:tr>
      <w:tr>
        <w:trPr>
          <w:cantSplit/>
        </w:trPr>
        <w:tc>
          <w:tcPr>
            <w:tcW w:type="dxa" w:w="1071"/>
            <w:vAlign w:val="center"/>
          </w:tcPr>
          <w:p>
            <w:pPr>
              <w:spacing w:after="80" w:before="60"/>
            </w:pPr>
            <w:r>
              <w:rPr>
                <w:sz w:val="19"/>
              </w:rPr>
              <w:t>Informer</w:t>
            </w:r>
          </w:p>
        </w:tc>
        <w:tc>
          <w:tcPr>
            <w:tcW w:type="dxa" w:w="1071"/>
            <w:vAlign w:val="center"/>
          </w:tcPr>
          <w:p>
            <w:pPr>
              <w:spacing w:after="80" w:before="60"/>
            </w:pPr>
            <w:r>
              <w:rPr>
                <w:sz w:val="19"/>
              </w:rPr>
              <w:t>20.486</w:t>
            </w:r>
          </w:p>
        </w:tc>
        <w:tc>
          <w:tcPr>
            <w:tcW w:type="dxa" w:w="1071"/>
            <w:vAlign w:val="center"/>
          </w:tcPr>
          <w:p>
            <w:pPr>
              <w:spacing w:after="80" w:before="60"/>
            </w:pPr>
            <w:r>
              <w:rPr>
                <w:sz w:val="19"/>
              </w:rPr>
              <w:t>6.810</w:t>
            </w:r>
          </w:p>
        </w:tc>
        <w:tc>
          <w:tcPr>
            <w:tcW w:type="dxa" w:w="1071"/>
            <w:vAlign w:val="center"/>
          </w:tcPr>
          <w:p>
            <w:pPr>
              <w:spacing w:after="80" w:before="60"/>
            </w:pPr>
            <w:r>
              <w:rPr>
                <w:sz w:val="19"/>
              </w:rPr>
              <w:t>-2.659</w:t>
            </w:r>
          </w:p>
        </w:tc>
        <w:tc>
          <w:tcPr>
            <w:tcW w:type="dxa" w:w="1071"/>
            <w:vAlign w:val="center"/>
          </w:tcPr>
          <w:p>
            <w:pPr>
              <w:spacing w:after="80" w:before="60"/>
            </w:pPr>
            <w:r>
              <w:rPr>
                <w:sz w:val="19"/>
              </w:rPr>
              <w:t>0.060</w:t>
            </w:r>
          </w:p>
        </w:tc>
        <w:tc>
          <w:tcPr>
            <w:tcW w:type="dxa" w:w="1071"/>
            <w:vAlign w:val="center"/>
          </w:tcPr>
          <w:p>
            <w:pPr>
              <w:spacing w:after="80" w:before="60"/>
            </w:pPr>
            <w:r>
              <w:rPr>
                <w:sz w:val="19"/>
              </w:rPr>
              <w:t>0.278</w:t>
            </w:r>
          </w:p>
        </w:tc>
        <w:tc>
          <w:tcPr>
            <w:tcW w:type="dxa" w:w="1071"/>
            <w:vAlign w:val="center"/>
          </w:tcPr>
          <w:p>
            <w:pPr>
              <w:spacing w:after="80" w:before="60"/>
            </w:pPr>
            <w:r>
              <w:rPr>
                <w:sz w:val="19"/>
              </w:rPr>
              <w:t>0.440</w:t>
            </w:r>
          </w:p>
        </w:tc>
        <w:tc>
          <w:tcPr>
            <w:tcW w:type="dxa" w:w="1071"/>
            <w:vAlign w:val="center"/>
          </w:tcPr>
          <w:p>
            <w:pPr>
              <w:spacing w:after="80" w:before="60"/>
            </w:pPr>
            <w:r>
              <w:rPr>
                <w:sz w:val="19"/>
              </w:rPr>
              <w:t>0.614</w:t>
            </w:r>
          </w:p>
        </w:tc>
        <w:tc>
          <w:tcPr>
            <w:tcW w:type="dxa" w:w="1071"/>
            <w:vAlign w:val="center"/>
          </w:tcPr>
          <w:p>
            <w:pPr>
              <w:spacing w:after="80" w:before="60"/>
            </w:pPr>
            <w:r>
              <w:rPr>
                <w:sz w:val="19"/>
              </w:rPr>
              <w:t>0.391</w:t>
            </w:r>
          </w:p>
        </w:tc>
      </w:tr>
    </w:tbl>
    <w:p>
      <w:pPr>
        <w:spacing w:after="20"/>
      </w:pPr>
    </w:p>
    <w:p>
      <w:pPr>
        <w:pStyle w:val="Heading2"/>
      </w:pPr>
      <w:r>
        <w:t>Ngày 2</w:t>
      </w:r>
    </w:p>
    <w:tbl>
      <w:tblPr>
        <w:tblStyle w:val="LightShading-Accent1"/>
        <w:tblW w:type="auto" w:w="0"/>
        <w:jc w:val="center"/>
        <w:tblLayout w:type="fixed"/>
        <w:tblLook w:firstColumn="1" w:firstRow="1" w:lastColumn="0" w:lastRow="0" w:noHBand="0" w:noVBand="1" w:val="04A0"/>
      </w:tblPr>
      <w:tblGrid>
        <w:gridCol w:w="1071"/>
        <w:gridCol w:w="1071"/>
        <w:gridCol w:w="1071"/>
        <w:gridCol w:w="1071"/>
        <w:gridCol w:w="1071"/>
        <w:gridCol w:w="1071"/>
        <w:gridCol w:w="1071"/>
        <w:gridCol w:w="1071"/>
        <w:gridCol w:w="1071"/>
      </w:tblGrid>
      <w:tr>
        <w:trPr>
          <w:cantSplit/>
          <w:tblHeader/>
        </w:trPr>
        <w:tc>
          <w:tcPr>
            <w:tcW w:type="dxa" w:w="1071"/>
            <w:vAlign w:val="center"/>
          </w:tcPr>
          <w:p>
            <w:pPr>
              <w:spacing w:after="80" w:before="60"/>
            </w:pPr>
            <w:r>
              <w:rPr>
                <w:b/>
                <w:sz w:val="19"/>
              </w:rPr>
              <w:t>Mô hình</w:t>
            </w:r>
          </w:p>
        </w:tc>
        <w:tc>
          <w:tcPr>
            <w:tcW w:type="dxa" w:w="1071"/>
            <w:vAlign w:val="center"/>
          </w:tcPr>
          <w:p>
            <w:pPr>
              <w:spacing w:after="80" w:before="60"/>
            </w:pPr>
            <w:r>
              <w:rPr>
                <w:b/>
                <w:sz w:val="19"/>
              </w:rPr>
              <w:t>RMSE ↓</w:t>
            </w:r>
          </w:p>
        </w:tc>
        <w:tc>
          <w:tcPr>
            <w:tcW w:type="dxa" w:w="1071"/>
            <w:vAlign w:val="center"/>
          </w:tcPr>
          <w:p>
            <w:pPr>
              <w:spacing w:after="80" w:before="60"/>
            </w:pPr>
            <w:r>
              <w:rPr>
                <w:b/>
                <w:sz w:val="19"/>
              </w:rPr>
              <w:t>MAE ↓</w:t>
            </w:r>
          </w:p>
        </w:tc>
        <w:tc>
          <w:tcPr>
            <w:tcW w:type="dxa" w:w="1071"/>
            <w:vAlign w:val="center"/>
          </w:tcPr>
          <w:p>
            <w:pPr>
              <w:spacing w:after="80" w:before="60"/>
            </w:pPr>
            <w:r>
              <w:rPr>
                <w:b/>
                <w:sz w:val="19"/>
              </w:rPr>
              <w:t>Bias ≈0</w:t>
            </w:r>
          </w:p>
        </w:tc>
        <w:tc>
          <w:tcPr>
            <w:tcW w:type="dxa" w:w="1071"/>
            <w:vAlign w:val="center"/>
          </w:tcPr>
          <w:p>
            <w:pPr>
              <w:spacing w:after="80" w:before="60"/>
            </w:pPr>
            <w:r>
              <w:rPr>
                <w:b/>
                <w:sz w:val="19"/>
              </w:rPr>
              <w:t>BS ↓</w:t>
            </w:r>
          </w:p>
        </w:tc>
        <w:tc>
          <w:tcPr>
            <w:tcW w:type="dxa" w:w="1071"/>
            <w:vAlign w:val="center"/>
          </w:tcPr>
          <w:p>
            <w:pPr>
              <w:spacing w:after="80" w:before="60"/>
            </w:pPr>
            <w:r>
              <w:rPr>
                <w:b/>
                <w:sz w:val="19"/>
              </w:rPr>
              <w:t>BSS ↑</w:t>
            </w:r>
          </w:p>
        </w:tc>
        <w:tc>
          <w:tcPr>
            <w:tcW w:type="dxa" w:w="1071"/>
            <w:vAlign w:val="center"/>
          </w:tcPr>
          <w:p>
            <w:pPr>
              <w:spacing w:after="80" w:before="60"/>
            </w:pPr>
            <w:r>
              <w:rPr>
                <w:b/>
                <w:sz w:val="19"/>
              </w:rPr>
              <w:t>CSI ↑</w:t>
            </w:r>
          </w:p>
        </w:tc>
        <w:tc>
          <w:tcPr>
            <w:tcW w:type="dxa" w:w="1071"/>
            <w:vAlign w:val="center"/>
          </w:tcPr>
          <w:p>
            <w:pPr>
              <w:spacing w:after="80" w:before="60"/>
            </w:pPr>
            <w:r>
              <w:rPr>
                <w:b/>
                <w:sz w:val="19"/>
              </w:rPr>
              <w:t>POD ↑</w:t>
            </w:r>
          </w:p>
        </w:tc>
        <w:tc>
          <w:tcPr>
            <w:tcW w:type="dxa" w:w="1071"/>
            <w:vAlign w:val="center"/>
          </w:tcPr>
          <w:p>
            <w:pPr>
              <w:spacing w:after="80" w:before="60"/>
            </w:pPr>
            <w:r>
              <w:rPr>
                <w:b/>
                <w:sz w:val="19"/>
              </w:rPr>
              <w:t>FAR ↓</w:t>
            </w:r>
          </w:p>
        </w:tc>
      </w:tr>
      <w:tr>
        <w:trPr>
          <w:cantSplit/>
        </w:trPr>
        <w:tc>
          <w:tcPr>
            <w:tcW w:type="dxa" w:w="1071"/>
            <w:vAlign w:val="center"/>
          </w:tcPr>
          <w:p>
            <w:pPr>
              <w:spacing w:after="80" w:before="60"/>
            </w:pPr>
            <w:r>
              <w:rPr>
                <w:sz w:val="19"/>
              </w:rPr>
              <w:t>LightGBM</w:t>
            </w:r>
          </w:p>
        </w:tc>
        <w:tc>
          <w:tcPr>
            <w:tcW w:type="dxa" w:w="1071"/>
            <w:vAlign w:val="center"/>
          </w:tcPr>
          <w:p>
            <w:pPr>
              <w:spacing w:after="80" w:before="60"/>
            </w:pPr>
            <w:r>
              <w:rPr>
                <w:sz w:val="19"/>
              </w:rPr>
              <w:t>20.756</w:t>
            </w:r>
          </w:p>
        </w:tc>
        <w:tc>
          <w:tcPr>
            <w:tcW w:type="dxa" w:w="1071"/>
            <w:vAlign w:val="center"/>
          </w:tcPr>
          <w:p>
            <w:pPr>
              <w:spacing w:after="80" w:before="60"/>
            </w:pPr>
            <w:r>
              <w:rPr>
                <w:sz w:val="19"/>
              </w:rPr>
              <w:t>7.238</w:t>
            </w:r>
          </w:p>
        </w:tc>
        <w:tc>
          <w:tcPr>
            <w:tcW w:type="dxa" w:w="1071"/>
            <w:vAlign w:val="center"/>
          </w:tcPr>
          <w:p>
            <w:pPr>
              <w:spacing w:after="80" w:before="60"/>
            </w:pPr>
            <w:r>
              <w:rPr>
                <w:sz w:val="19"/>
              </w:rPr>
              <w:t>-2.551</w:t>
            </w:r>
          </w:p>
        </w:tc>
        <w:tc>
          <w:tcPr>
            <w:tcW w:type="dxa" w:w="1071"/>
            <w:vAlign w:val="center"/>
          </w:tcPr>
          <w:p>
            <w:pPr>
              <w:spacing w:after="80" w:before="60"/>
            </w:pPr>
            <w:r>
              <w:rPr>
                <w:sz w:val="19"/>
              </w:rPr>
              <w:t>0.079</w:t>
            </w:r>
          </w:p>
        </w:tc>
        <w:tc>
          <w:tcPr>
            <w:tcW w:type="dxa" w:w="1071"/>
            <w:vAlign w:val="center"/>
          </w:tcPr>
          <w:p>
            <w:pPr>
              <w:spacing w:after="80" w:before="60"/>
            </w:pPr>
            <w:r>
              <w:rPr>
                <w:sz w:val="19"/>
              </w:rPr>
              <w:t>0.043</w:t>
            </w:r>
          </w:p>
        </w:tc>
        <w:tc>
          <w:tcPr>
            <w:tcW w:type="dxa" w:w="1071"/>
            <w:vAlign w:val="center"/>
          </w:tcPr>
          <w:p>
            <w:pPr>
              <w:spacing w:after="80" w:before="60"/>
            </w:pPr>
            <w:r>
              <w:rPr>
                <w:sz w:val="19"/>
              </w:rPr>
              <w:t>0.277</w:t>
            </w:r>
          </w:p>
        </w:tc>
        <w:tc>
          <w:tcPr>
            <w:tcW w:type="dxa" w:w="1071"/>
            <w:vAlign w:val="center"/>
          </w:tcPr>
          <w:p>
            <w:pPr>
              <w:spacing w:after="80" w:before="60"/>
            </w:pPr>
            <w:r>
              <w:rPr>
                <w:sz w:val="19"/>
              </w:rPr>
              <w:t>0.456</w:t>
            </w:r>
          </w:p>
        </w:tc>
        <w:tc>
          <w:tcPr>
            <w:tcW w:type="dxa" w:w="1071"/>
            <w:vAlign w:val="center"/>
          </w:tcPr>
          <w:p>
            <w:pPr>
              <w:spacing w:after="80" w:before="60"/>
            </w:pPr>
            <w:r>
              <w:rPr>
                <w:sz w:val="19"/>
              </w:rPr>
              <w:t>0.587</w:t>
            </w:r>
          </w:p>
        </w:tc>
      </w:tr>
      <w:tr>
        <w:trPr>
          <w:cantSplit/>
        </w:trPr>
        <w:tc>
          <w:tcPr>
            <w:tcW w:type="dxa" w:w="1071"/>
            <w:vAlign w:val="center"/>
          </w:tcPr>
          <w:p>
            <w:pPr>
              <w:spacing w:after="80" w:before="60"/>
            </w:pPr>
            <w:r>
              <w:rPr>
                <w:sz w:val="19"/>
              </w:rPr>
              <w:t>TFT</w:t>
            </w:r>
          </w:p>
        </w:tc>
        <w:tc>
          <w:tcPr>
            <w:tcW w:type="dxa" w:w="1071"/>
            <w:vAlign w:val="center"/>
          </w:tcPr>
          <w:p>
            <w:pPr>
              <w:spacing w:after="80" w:before="60"/>
            </w:pPr>
            <w:r>
              <w:rPr>
                <w:sz w:val="19"/>
              </w:rPr>
              <w:t>21.018</w:t>
            </w:r>
          </w:p>
        </w:tc>
        <w:tc>
          <w:tcPr>
            <w:tcW w:type="dxa" w:w="1071"/>
            <w:vAlign w:val="center"/>
          </w:tcPr>
          <w:p>
            <w:pPr>
              <w:spacing w:after="80" w:before="60"/>
            </w:pPr>
            <w:r>
              <w:rPr>
                <w:sz w:val="19"/>
              </w:rPr>
              <w:t>7.566</w:t>
            </w:r>
          </w:p>
        </w:tc>
        <w:tc>
          <w:tcPr>
            <w:tcW w:type="dxa" w:w="1071"/>
            <w:vAlign w:val="center"/>
          </w:tcPr>
          <w:p>
            <w:pPr>
              <w:spacing w:after="80" w:before="60"/>
            </w:pPr>
            <w:r>
              <w:rPr>
                <w:sz w:val="19"/>
              </w:rPr>
              <w:t>-2.105</w:t>
            </w:r>
          </w:p>
        </w:tc>
        <w:tc>
          <w:tcPr>
            <w:tcW w:type="dxa" w:w="1071"/>
            <w:vAlign w:val="center"/>
          </w:tcPr>
          <w:p>
            <w:pPr>
              <w:spacing w:after="80" w:before="60"/>
            </w:pPr>
            <w:r>
              <w:rPr>
                <w:sz w:val="19"/>
              </w:rPr>
              <w:t>0.080</w:t>
            </w:r>
          </w:p>
        </w:tc>
        <w:tc>
          <w:tcPr>
            <w:tcW w:type="dxa" w:w="1071"/>
            <w:vAlign w:val="center"/>
          </w:tcPr>
          <w:p>
            <w:pPr>
              <w:spacing w:after="80" w:before="60"/>
            </w:pPr>
            <w:r>
              <w:rPr>
                <w:sz w:val="19"/>
              </w:rPr>
              <w:t>0.028</w:t>
            </w:r>
          </w:p>
        </w:tc>
        <w:tc>
          <w:tcPr>
            <w:tcW w:type="dxa" w:w="1071"/>
            <w:vAlign w:val="center"/>
          </w:tcPr>
          <w:p>
            <w:pPr>
              <w:spacing w:after="80" w:before="60"/>
            </w:pPr>
            <w:r>
              <w:rPr>
                <w:sz w:val="19"/>
              </w:rPr>
              <w:t>0.257</w:t>
            </w:r>
          </w:p>
        </w:tc>
        <w:tc>
          <w:tcPr>
            <w:tcW w:type="dxa" w:w="1071"/>
            <w:vAlign w:val="center"/>
          </w:tcPr>
          <w:p>
            <w:pPr>
              <w:spacing w:after="80" w:before="60"/>
            </w:pPr>
            <w:r>
              <w:rPr>
                <w:sz w:val="19"/>
              </w:rPr>
              <w:t>0.509</w:t>
            </w:r>
          </w:p>
        </w:tc>
        <w:tc>
          <w:tcPr>
            <w:tcW w:type="dxa" w:w="1071"/>
            <w:vAlign w:val="center"/>
          </w:tcPr>
          <w:p>
            <w:pPr>
              <w:spacing w:after="80" w:before="60"/>
            </w:pPr>
            <w:r>
              <w:rPr>
                <w:sz w:val="19"/>
              </w:rPr>
              <w:t>0.659</w:t>
            </w:r>
          </w:p>
        </w:tc>
      </w:tr>
      <w:tr>
        <w:trPr>
          <w:cantSplit/>
        </w:trPr>
        <w:tc>
          <w:tcPr>
            <w:tcW w:type="dxa" w:w="1071"/>
            <w:vAlign w:val="center"/>
          </w:tcPr>
          <w:p>
            <w:pPr>
              <w:spacing w:after="80" w:before="60"/>
            </w:pPr>
            <w:r>
              <w:rPr>
                <w:sz w:val="19"/>
              </w:rPr>
              <w:t>Informer</w:t>
            </w:r>
          </w:p>
        </w:tc>
        <w:tc>
          <w:tcPr>
            <w:tcW w:type="dxa" w:w="1071"/>
            <w:vAlign w:val="center"/>
          </w:tcPr>
          <w:p>
            <w:pPr>
              <w:spacing w:after="80" w:before="60"/>
            </w:pPr>
            <w:r>
              <w:rPr>
                <w:sz w:val="19"/>
              </w:rPr>
              <w:t>21.190</w:t>
            </w:r>
          </w:p>
        </w:tc>
        <w:tc>
          <w:tcPr>
            <w:tcW w:type="dxa" w:w="1071"/>
            <w:vAlign w:val="center"/>
          </w:tcPr>
          <w:p>
            <w:pPr>
              <w:spacing w:after="80" w:before="60"/>
            </w:pPr>
            <w:r>
              <w:rPr>
                <w:sz w:val="19"/>
              </w:rPr>
              <w:t>7.717</w:t>
            </w:r>
          </w:p>
        </w:tc>
        <w:tc>
          <w:tcPr>
            <w:tcW w:type="dxa" w:w="1071"/>
            <w:vAlign w:val="center"/>
          </w:tcPr>
          <w:p>
            <w:pPr>
              <w:spacing w:after="80" w:before="60"/>
            </w:pPr>
            <w:r>
              <w:rPr>
                <w:sz w:val="19"/>
              </w:rPr>
              <w:t>-2.069</w:t>
            </w:r>
          </w:p>
        </w:tc>
        <w:tc>
          <w:tcPr>
            <w:tcW w:type="dxa" w:w="1071"/>
            <w:vAlign w:val="center"/>
          </w:tcPr>
          <w:p>
            <w:pPr>
              <w:spacing w:after="80" w:before="60"/>
            </w:pPr>
            <w:r>
              <w:rPr>
                <w:sz w:val="19"/>
              </w:rPr>
              <w:t>0.081</w:t>
            </w:r>
          </w:p>
        </w:tc>
        <w:tc>
          <w:tcPr>
            <w:tcW w:type="dxa" w:w="1071"/>
            <w:vAlign w:val="center"/>
          </w:tcPr>
          <w:p>
            <w:pPr>
              <w:spacing w:after="80" w:before="60"/>
            </w:pPr>
            <w:r>
              <w:rPr>
                <w:sz w:val="19"/>
              </w:rPr>
              <w:t>0.025</w:t>
            </w:r>
          </w:p>
        </w:tc>
        <w:tc>
          <w:tcPr>
            <w:tcW w:type="dxa" w:w="1071"/>
            <w:vAlign w:val="center"/>
          </w:tcPr>
          <w:p>
            <w:pPr>
              <w:spacing w:after="80" w:before="60"/>
            </w:pPr>
            <w:r>
              <w:rPr>
                <w:sz w:val="19"/>
              </w:rPr>
              <w:t>0.239</w:t>
            </w:r>
          </w:p>
        </w:tc>
        <w:tc>
          <w:tcPr>
            <w:tcW w:type="dxa" w:w="1071"/>
            <w:vAlign w:val="center"/>
          </w:tcPr>
          <w:p>
            <w:pPr>
              <w:spacing w:after="80" w:before="60"/>
            </w:pPr>
            <w:r>
              <w:rPr>
                <w:sz w:val="19"/>
              </w:rPr>
              <w:t>0.447</w:t>
            </w:r>
          </w:p>
        </w:tc>
        <w:tc>
          <w:tcPr>
            <w:tcW w:type="dxa" w:w="1071"/>
            <w:vAlign w:val="center"/>
          </w:tcPr>
          <w:p>
            <w:pPr>
              <w:spacing w:after="80" w:before="60"/>
            </w:pPr>
            <w:r>
              <w:rPr>
                <w:sz w:val="19"/>
              </w:rPr>
              <w:t>0.660</w:t>
            </w:r>
          </w:p>
        </w:tc>
      </w:tr>
    </w:tbl>
    <w:p>
      <w:pPr>
        <w:spacing w:after="20"/>
      </w:pPr>
    </w:p>
    <w:p>
      <w:pPr>
        <w:pStyle w:val="Heading2"/>
      </w:pPr>
      <w:r>
        <w:t>Ngày 3</w:t>
      </w:r>
    </w:p>
    <w:tbl>
      <w:tblPr>
        <w:tblStyle w:val="LightShading-Accent1"/>
        <w:tblW w:type="auto" w:w="0"/>
        <w:jc w:val="center"/>
        <w:tblLayout w:type="fixed"/>
        <w:tblLook w:firstColumn="1" w:firstRow="1" w:lastColumn="0" w:lastRow="0" w:noHBand="0" w:noVBand="1" w:val="04A0"/>
      </w:tblPr>
      <w:tblGrid>
        <w:gridCol w:w="1071"/>
        <w:gridCol w:w="1071"/>
        <w:gridCol w:w="1071"/>
        <w:gridCol w:w="1071"/>
        <w:gridCol w:w="1071"/>
        <w:gridCol w:w="1071"/>
        <w:gridCol w:w="1071"/>
        <w:gridCol w:w="1071"/>
        <w:gridCol w:w="1071"/>
      </w:tblGrid>
      <w:tr>
        <w:trPr>
          <w:cantSplit/>
          <w:tblHeader/>
        </w:trPr>
        <w:tc>
          <w:tcPr>
            <w:tcW w:type="dxa" w:w="1071"/>
            <w:vAlign w:val="center"/>
          </w:tcPr>
          <w:p>
            <w:pPr>
              <w:spacing w:after="80" w:before="60"/>
            </w:pPr>
            <w:r>
              <w:rPr>
                <w:b/>
                <w:sz w:val="19"/>
              </w:rPr>
              <w:t>Mô hình</w:t>
            </w:r>
          </w:p>
        </w:tc>
        <w:tc>
          <w:tcPr>
            <w:tcW w:type="dxa" w:w="1071"/>
            <w:vAlign w:val="center"/>
          </w:tcPr>
          <w:p>
            <w:pPr>
              <w:spacing w:after="80" w:before="60"/>
            </w:pPr>
            <w:r>
              <w:rPr>
                <w:b/>
                <w:sz w:val="19"/>
              </w:rPr>
              <w:t>RMSE ↓</w:t>
            </w:r>
          </w:p>
        </w:tc>
        <w:tc>
          <w:tcPr>
            <w:tcW w:type="dxa" w:w="1071"/>
            <w:vAlign w:val="center"/>
          </w:tcPr>
          <w:p>
            <w:pPr>
              <w:spacing w:after="80" w:before="60"/>
            </w:pPr>
            <w:r>
              <w:rPr>
                <w:b/>
                <w:sz w:val="19"/>
              </w:rPr>
              <w:t>MAE ↓</w:t>
            </w:r>
          </w:p>
        </w:tc>
        <w:tc>
          <w:tcPr>
            <w:tcW w:type="dxa" w:w="1071"/>
            <w:vAlign w:val="center"/>
          </w:tcPr>
          <w:p>
            <w:pPr>
              <w:spacing w:after="80" w:before="60"/>
            </w:pPr>
            <w:r>
              <w:rPr>
                <w:b/>
                <w:sz w:val="19"/>
              </w:rPr>
              <w:t>Bias ≈0</w:t>
            </w:r>
          </w:p>
        </w:tc>
        <w:tc>
          <w:tcPr>
            <w:tcW w:type="dxa" w:w="1071"/>
            <w:vAlign w:val="center"/>
          </w:tcPr>
          <w:p>
            <w:pPr>
              <w:spacing w:after="80" w:before="60"/>
            </w:pPr>
            <w:r>
              <w:rPr>
                <w:b/>
                <w:sz w:val="19"/>
              </w:rPr>
              <w:t>BS ↓</w:t>
            </w:r>
          </w:p>
        </w:tc>
        <w:tc>
          <w:tcPr>
            <w:tcW w:type="dxa" w:w="1071"/>
            <w:vAlign w:val="center"/>
          </w:tcPr>
          <w:p>
            <w:pPr>
              <w:spacing w:after="80" w:before="60"/>
            </w:pPr>
            <w:r>
              <w:rPr>
                <w:b/>
                <w:sz w:val="19"/>
              </w:rPr>
              <w:t>BSS ↑</w:t>
            </w:r>
          </w:p>
        </w:tc>
        <w:tc>
          <w:tcPr>
            <w:tcW w:type="dxa" w:w="1071"/>
            <w:vAlign w:val="center"/>
          </w:tcPr>
          <w:p>
            <w:pPr>
              <w:spacing w:after="80" w:before="60"/>
            </w:pPr>
            <w:r>
              <w:rPr>
                <w:b/>
                <w:sz w:val="19"/>
              </w:rPr>
              <w:t>CSI ↑</w:t>
            </w:r>
          </w:p>
        </w:tc>
        <w:tc>
          <w:tcPr>
            <w:tcW w:type="dxa" w:w="1071"/>
            <w:vAlign w:val="center"/>
          </w:tcPr>
          <w:p>
            <w:pPr>
              <w:spacing w:after="80" w:before="60"/>
            </w:pPr>
            <w:r>
              <w:rPr>
                <w:b/>
                <w:sz w:val="19"/>
              </w:rPr>
              <w:t>POD ↑</w:t>
            </w:r>
          </w:p>
        </w:tc>
        <w:tc>
          <w:tcPr>
            <w:tcW w:type="dxa" w:w="1071"/>
            <w:vAlign w:val="center"/>
          </w:tcPr>
          <w:p>
            <w:pPr>
              <w:spacing w:after="80" w:before="60"/>
            </w:pPr>
            <w:r>
              <w:rPr>
                <w:b/>
                <w:sz w:val="19"/>
              </w:rPr>
              <w:t>FAR ↓</w:t>
            </w:r>
          </w:p>
        </w:tc>
      </w:tr>
      <w:tr>
        <w:trPr>
          <w:cantSplit/>
        </w:trPr>
        <w:tc>
          <w:tcPr>
            <w:tcW w:type="dxa" w:w="1071"/>
            <w:vAlign w:val="center"/>
          </w:tcPr>
          <w:p>
            <w:pPr>
              <w:spacing w:after="80" w:before="60"/>
            </w:pPr>
            <w:r>
              <w:rPr>
                <w:sz w:val="19"/>
              </w:rPr>
              <w:t>LightGBM</w:t>
            </w:r>
          </w:p>
        </w:tc>
        <w:tc>
          <w:tcPr>
            <w:tcW w:type="dxa" w:w="1071"/>
            <w:vAlign w:val="center"/>
          </w:tcPr>
          <w:p>
            <w:pPr>
              <w:spacing w:after="80" w:before="60"/>
            </w:pPr>
            <w:r>
              <w:rPr>
                <w:sz w:val="19"/>
              </w:rPr>
              <w:t>21.742</w:t>
            </w:r>
          </w:p>
        </w:tc>
        <w:tc>
          <w:tcPr>
            <w:tcW w:type="dxa" w:w="1071"/>
            <w:vAlign w:val="center"/>
          </w:tcPr>
          <w:p>
            <w:pPr>
              <w:spacing w:after="80" w:before="60"/>
            </w:pPr>
            <w:r>
              <w:rPr>
                <w:sz w:val="19"/>
              </w:rPr>
              <w:t>7.666</w:t>
            </w:r>
          </w:p>
        </w:tc>
        <w:tc>
          <w:tcPr>
            <w:tcW w:type="dxa" w:w="1071"/>
            <w:vAlign w:val="center"/>
          </w:tcPr>
          <w:p>
            <w:pPr>
              <w:spacing w:after="80" w:before="60"/>
            </w:pPr>
            <w:r>
              <w:rPr>
                <w:sz w:val="19"/>
              </w:rPr>
              <w:t>-2.900</w:t>
            </w:r>
          </w:p>
        </w:tc>
        <w:tc>
          <w:tcPr>
            <w:tcW w:type="dxa" w:w="1071"/>
            <w:vAlign w:val="center"/>
          </w:tcPr>
          <w:p>
            <w:pPr>
              <w:spacing w:after="80" w:before="60"/>
            </w:pPr>
            <w:r>
              <w:rPr>
                <w:sz w:val="19"/>
              </w:rPr>
              <w:t>0.089</w:t>
            </w:r>
          </w:p>
        </w:tc>
        <w:tc>
          <w:tcPr>
            <w:tcW w:type="dxa" w:w="1071"/>
            <w:vAlign w:val="center"/>
          </w:tcPr>
          <w:p>
            <w:pPr>
              <w:spacing w:after="80" w:before="60"/>
            </w:pPr>
            <w:r>
              <w:rPr>
                <w:sz w:val="19"/>
              </w:rPr>
              <w:t>-0.075</w:t>
            </w:r>
          </w:p>
        </w:tc>
        <w:tc>
          <w:tcPr>
            <w:tcW w:type="dxa" w:w="1071"/>
            <w:vAlign w:val="center"/>
          </w:tcPr>
          <w:p>
            <w:pPr>
              <w:spacing w:after="80" w:before="60"/>
            </w:pPr>
            <w:r>
              <w:rPr>
                <w:sz w:val="19"/>
              </w:rPr>
              <w:t>0.203</w:t>
            </w:r>
          </w:p>
        </w:tc>
        <w:tc>
          <w:tcPr>
            <w:tcW w:type="dxa" w:w="1071"/>
            <w:vAlign w:val="center"/>
          </w:tcPr>
          <w:p>
            <w:pPr>
              <w:spacing w:after="80" w:before="60"/>
            </w:pPr>
            <w:r>
              <w:rPr>
                <w:sz w:val="19"/>
              </w:rPr>
              <w:t>0.482</w:t>
            </w:r>
          </w:p>
        </w:tc>
        <w:tc>
          <w:tcPr>
            <w:tcW w:type="dxa" w:w="1071"/>
            <w:vAlign w:val="center"/>
          </w:tcPr>
          <w:p>
            <w:pPr>
              <w:spacing w:after="80" w:before="60"/>
            </w:pPr>
            <w:r>
              <w:rPr>
                <w:sz w:val="19"/>
              </w:rPr>
              <w:t>0.741</w:t>
            </w:r>
          </w:p>
        </w:tc>
      </w:tr>
      <w:tr>
        <w:trPr>
          <w:cantSplit/>
        </w:trPr>
        <w:tc>
          <w:tcPr>
            <w:tcW w:type="dxa" w:w="1071"/>
            <w:vAlign w:val="center"/>
          </w:tcPr>
          <w:p>
            <w:pPr>
              <w:spacing w:after="80" w:before="60"/>
            </w:pPr>
            <w:r>
              <w:rPr>
                <w:sz w:val="19"/>
              </w:rPr>
              <w:t>TFT</w:t>
            </w:r>
          </w:p>
        </w:tc>
        <w:tc>
          <w:tcPr>
            <w:tcW w:type="dxa" w:w="1071"/>
            <w:vAlign w:val="center"/>
          </w:tcPr>
          <w:p>
            <w:pPr>
              <w:spacing w:after="80" w:before="60"/>
            </w:pPr>
            <w:r>
              <w:rPr>
                <w:sz w:val="19"/>
              </w:rPr>
              <w:t>21.321</w:t>
            </w:r>
          </w:p>
        </w:tc>
        <w:tc>
          <w:tcPr>
            <w:tcW w:type="dxa" w:w="1071"/>
            <w:vAlign w:val="center"/>
          </w:tcPr>
          <w:p>
            <w:pPr>
              <w:spacing w:after="80" w:before="60"/>
            </w:pPr>
            <w:r>
              <w:rPr>
                <w:sz w:val="19"/>
              </w:rPr>
              <w:t>8.104</w:t>
            </w:r>
          </w:p>
        </w:tc>
        <w:tc>
          <w:tcPr>
            <w:tcW w:type="dxa" w:w="1071"/>
            <w:vAlign w:val="center"/>
          </w:tcPr>
          <w:p>
            <w:pPr>
              <w:spacing w:after="80" w:before="60"/>
            </w:pPr>
            <w:r>
              <w:rPr>
                <w:sz w:val="19"/>
              </w:rPr>
              <w:t>-1.565</w:t>
            </w:r>
          </w:p>
        </w:tc>
        <w:tc>
          <w:tcPr>
            <w:tcW w:type="dxa" w:w="1071"/>
            <w:vAlign w:val="center"/>
          </w:tcPr>
          <w:p>
            <w:pPr>
              <w:spacing w:after="80" w:before="60"/>
            </w:pPr>
            <w:r>
              <w:rPr>
                <w:sz w:val="19"/>
              </w:rPr>
              <w:t>0.086</w:t>
            </w:r>
          </w:p>
        </w:tc>
        <w:tc>
          <w:tcPr>
            <w:tcW w:type="dxa" w:w="1071"/>
            <w:vAlign w:val="center"/>
          </w:tcPr>
          <w:p>
            <w:pPr>
              <w:spacing w:after="80" w:before="60"/>
            </w:pPr>
            <w:r>
              <w:rPr>
                <w:sz w:val="19"/>
              </w:rPr>
              <w:t>-0.038</w:t>
            </w:r>
          </w:p>
        </w:tc>
        <w:tc>
          <w:tcPr>
            <w:tcW w:type="dxa" w:w="1071"/>
            <w:vAlign w:val="center"/>
          </w:tcPr>
          <w:p>
            <w:pPr>
              <w:spacing w:after="80" w:before="60"/>
            </w:pPr>
            <w:r>
              <w:rPr>
                <w:sz w:val="19"/>
              </w:rPr>
              <w:t>0.201</w:t>
            </w:r>
          </w:p>
        </w:tc>
        <w:tc>
          <w:tcPr>
            <w:tcW w:type="dxa" w:w="1071"/>
            <w:vAlign w:val="center"/>
          </w:tcPr>
          <w:p>
            <w:pPr>
              <w:spacing w:after="80" w:before="60"/>
            </w:pPr>
            <w:r>
              <w:rPr>
                <w:sz w:val="19"/>
              </w:rPr>
              <w:t>0.412</w:t>
            </w:r>
          </w:p>
        </w:tc>
        <w:tc>
          <w:tcPr>
            <w:tcW w:type="dxa" w:w="1071"/>
            <w:vAlign w:val="center"/>
          </w:tcPr>
          <w:p>
            <w:pPr>
              <w:spacing w:after="80" w:before="60"/>
            </w:pPr>
            <w:r>
              <w:rPr>
                <w:sz w:val="19"/>
              </w:rPr>
              <w:t>0.719</w:t>
            </w:r>
          </w:p>
        </w:tc>
      </w:tr>
      <w:tr>
        <w:trPr>
          <w:cantSplit/>
        </w:trPr>
        <w:tc>
          <w:tcPr>
            <w:tcW w:type="dxa" w:w="1071"/>
            <w:vAlign w:val="center"/>
          </w:tcPr>
          <w:p>
            <w:pPr>
              <w:spacing w:after="80" w:before="60"/>
            </w:pPr>
            <w:r>
              <w:rPr>
                <w:sz w:val="19"/>
              </w:rPr>
              <w:t>Informer</w:t>
            </w:r>
          </w:p>
        </w:tc>
        <w:tc>
          <w:tcPr>
            <w:tcW w:type="dxa" w:w="1071"/>
            <w:vAlign w:val="center"/>
          </w:tcPr>
          <w:p>
            <w:pPr>
              <w:spacing w:after="80" w:before="60"/>
            </w:pPr>
            <w:r>
              <w:rPr>
                <w:sz w:val="19"/>
              </w:rPr>
              <w:t>21.347</w:t>
            </w:r>
          </w:p>
        </w:tc>
        <w:tc>
          <w:tcPr>
            <w:tcW w:type="dxa" w:w="1071"/>
            <w:vAlign w:val="center"/>
          </w:tcPr>
          <w:p>
            <w:pPr>
              <w:spacing w:after="80" w:before="60"/>
            </w:pPr>
            <w:r>
              <w:rPr>
                <w:sz w:val="19"/>
              </w:rPr>
              <w:t>8.051</w:t>
            </w:r>
          </w:p>
        </w:tc>
        <w:tc>
          <w:tcPr>
            <w:tcW w:type="dxa" w:w="1071"/>
            <w:vAlign w:val="center"/>
          </w:tcPr>
          <w:p>
            <w:pPr>
              <w:spacing w:after="80" w:before="60"/>
            </w:pPr>
            <w:r>
              <w:rPr>
                <w:sz w:val="19"/>
              </w:rPr>
              <w:t>-1.797</w:t>
            </w:r>
          </w:p>
        </w:tc>
        <w:tc>
          <w:tcPr>
            <w:tcW w:type="dxa" w:w="1071"/>
            <w:vAlign w:val="center"/>
          </w:tcPr>
          <w:p>
            <w:pPr>
              <w:spacing w:after="80" w:before="60"/>
            </w:pPr>
            <w:r>
              <w:rPr>
                <w:sz w:val="19"/>
              </w:rPr>
              <w:t>0.084</w:t>
            </w:r>
          </w:p>
        </w:tc>
        <w:tc>
          <w:tcPr>
            <w:tcW w:type="dxa" w:w="1071"/>
            <w:vAlign w:val="center"/>
          </w:tcPr>
          <w:p>
            <w:pPr>
              <w:spacing w:after="80" w:before="60"/>
            </w:pPr>
            <w:r>
              <w:rPr>
                <w:sz w:val="19"/>
              </w:rPr>
              <w:t>-0.019</w:t>
            </w:r>
          </w:p>
        </w:tc>
        <w:tc>
          <w:tcPr>
            <w:tcW w:type="dxa" w:w="1071"/>
            <w:vAlign w:val="center"/>
          </w:tcPr>
          <w:p>
            <w:pPr>
              <w:spacing w:after="80" w:before="60"/>
            </w:pPr>
            <w:r>
              <w:rPr>
                <w:sz w:val="19"/>
              </w:rPr>
              <w:t>0.216</w:t>
            </w:r>
          </w:p>
        </w:tc>
        <w:tc>
          <w:tcPr>
            <w:tcW w:type="dxa" w:w="1071"/>
            <w:vAlign w:val="center"/>
          </w:tcPr>
          <w:p>
            <w:pPr>
              <w:spacing w:after="80" w:before="60"/>
            </w:pPr>
            <w:r>
              <w:rPr>
                <w:sz w:val="19"/>
              </w:rPr>
              <w:t>0.456</w:t>
            </w:r>
          </w:p>
        </w:tc>
        <w:tc>
          <w:tcPr>
            <w:tcW w:type="dxa" w:w="1071"/>
            <w:vAlign w:val="center"/>
          </w:tcPr>
          <w:p>
            <w:pPr>
              <w:spacing w:after="80" w:before="60"/>
            </w:pPr>
            <w:r>
              <w:rPr>
                <w:sz w:val="19"/>
              </w:rPr>
              <w:t>0.709</w:t>
            </w:r>
          </w:p>
        </w:tc>
      </w:tr>
    </w:tbl>
    <w:p>
      <w:pPr>
        <w:spacing w:after="20"/>
      </w:pPr>
    </w:p>
    <w:p>
      <w:r>
        <w:t>LightGBM E7 ngày 1–2 có nhiều điểm tốt hơn; Informer CSI cao nhất ngày 1, TFT POD cao nhất ngày 1 nhưng báo nhầm nhiều hơn. Cả ba E7 ngày 3 BSS âm. Riêng Informer E6 ngày 3 có BSS khoảng +0,004, tương ứng giảm khoảng 0,4% sai số Brier; điểm dương nhỏ này chưa đủ để khẳng định kỹ năng chắc chắn. Các mô hình có thể có lợi ở E khác nhau; không chọn kiến trúc hoặc nhóm biến chỉ từ một điểm đẹp.</w:t>
      </w:r>
    </w:p>
    <w:p>
      <w:pPr>
        <w:pStyle w:val="Heading1"/>
      </w:pPr>
      <w:r>
        <w:t>Đọc bảng nhóm biến và độ bất định</w:t>
      </w:r>
    </w:p>
    <w:p>
      <w:r>
        <w:t>E0=B; E1=B+A; E2=B+M; E3=B+C; E4=B+A+M; E5=B+A+C; E6=B+M+C; E7=B+A+M+C. Số biến lần lượt 11/23/31/12/43/24/32/44. Nhóm C chỉ là SST hộp biển, không phải đã kiểm tra ENSO/MJO đầy đủ.</w:t>
      </w:r>
    </w:p>
    <w:p>
      <w:r>
        <w:t xml:space="preserve">CI mới dùng 20.000 bootstrap khối bảy ngày và độ nhạy 14 ngày, giữ chung mẫu giữa mô hình, ngưỡng và các ngày; lấy mẫu trong từng năm. Đây là </w:t>
      </w:r>
      <w:r>
        <w:rPr>
          <w:b/>
        </w:rPr>
        <w:t>CI95% mô tả</w:t>
      </w:r>
      <w:r>
        <w:t>, chưa hiệu chỉnh nhiều phép và có điều kiện trên mô hình đã fit. Chúng không bao trùm toàn bộ bất định huấn luyện hoặc nhãn. Thêm biến cũng có thể làm đổi số tham số mạng, cần công bố khi diễn giải hiệu ứng nhóm. Phép thử TFT chính với CI điều chỉnh gia đình chín phép vẫn giữ riêng; không đổi phân tích mới thành kiểm định xác nhận. Kiểm định cuối 2025 chưa mở.</w:t>
      </w:r>
    </w:p>
    <w:p>
      <w:pPr>
        <w:pStyle w:val="Heading1"/>
      </w:pPr>
      <w:r>
        <w:t>Lịch, chín xác suất và bước sáu giờ</w:t>
      </w:r>
    </w:p>
    <w:p>
      <w:r>
        <w:t>Bốn biến lịch là sin_hour/cos_hour/sin_doy/cos_doy, biểu diễn hai chu kỳ giờ trong ngày và ngày trong năm theo giờ Việt Nam. Decoder chỉ biết lịch tương lai, không biết ERA5 tương lai. 72 giờ tương lai tạo 12 khối sáu giờ × bốn biến lịch.</w:t>
      </w:r>
    </w:p>
    <w:p>
      <w:r>
        <w:t>Đầu ra có ba lượng mm/24h và chín xác suất: ba ngày × ba sự kiện đạt 16/50/100 mm. Các sự kiện lồng nhau, không cộng ba xác suất thành 100%; xác suất nói về tổng mưa trung bình vùng, không phải phần trăm diện tích có mưa. Ngưỡng nghiên cứu này không tự là cấp cảnh báo hành chính.</w:t>
      </w:r>
    </w:p>
    <w:p>
      <w:r>
        <w:t>Gộp sáu giờ là lấy trung bình đặc trưng khí tượng để giảm 168 giờ lịch sử còn 28 bước. Nhãn vẫn cộng 24 giờ để tạo tổng ngày. Chưa có đối chứng cùng điều kiện 1h/3h/6h để chứng minh sáu giờ tối ưu hoặc không mất đỉnh CAPE/gió/ẩm. Các kết quả mới vẫn có điều kiện trên lựa chọn sáu giờ đã khóa.</w:t>
      </w:r>
    </w:p>
    <w:p>
      <w:pPr>
        <w:pStyle w:val="Heading1"/>
      </w:pPr>
      <w:r>
        <w:t>Seed, LightGBM và BSS</w:t>
      </w:r>
    </w:p>
    <w:p>
      <w:r>
        <w:t>TFT/Informer có ba seed 42/43/44: cùng dữ liệu/cấu hình nhưng khác khởi tạo và thao tác ngẫu nhiên khi học. Báo cáo dùng trung bình dự đoán ba seed rồi tính metric, không chọn seed đẹp nhất; ba seed không tạo thêm ngày thời tiết. LightGBM hiện chạy xác định nên mỗi E/năm có một pipeline.</w:t>
      </w:r>
    </w:p>
    <w:p>
      <w:r>
        <w:t>LightGBM là mô hình tham chiếu để so sánh, không phải mô hình buộc TFT phải thắng. Trọng tâm là đóng góp đặc trưng và đánh giá các pipeline cùng điều kiện. Cây dùng thống kê lịch sử, mạng dùng chuỗi; chưa cô lập riêng ảnh hưởng kiến trúc.</w:t>
      </w:r>
    </w:p>
    <w:p>
      <w:r>
        <w:t>BSS = 1 − BS_mô_hình/BS_khí_hậu. BSS=0,03 là giảm 3% sai số Brier; BSS=−0,038 là tăng 3,8% sai số Brier, không phải tỷ lệ ngày dự đoán sai. BSS âm chỉ kết luận cho xác suất ở ngưỡng, hạn và tập đang xét. POD cao không tự bảo đảm BSS dương.</w:t>
      </w:r>
    </w:p>
    <w:p>
      <w:pPr>
        <w:pStyle w:val="Heading1"/>
      </w:pPr>
      <w:r>
        <w:t>Giới hạn và bước tiếp</w:t>
      </w:r>
    </w:p>
    <w:p>
      <w:r>
        <w:t>Footprint 93 toàn ô, diện tích khoảng 11.074 km², còn xấp xỉ địa giới Đà Nẵng mới. Nhãn GSMaP Gauge và provenance khí tượng cần tiếp tục QC. Đủ ma trận không có nghĩa đã xong kiểm chứng ranh/nhãn hoặc chứng minh vận hành. Khóa thiết kế trước holdout; không sửa ngưỡng hay chọn cấu hình theo test 2025.</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20/10/2026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PBL6  |  PHƯƠNG ÁN NGHIÊN CỨU  |  DỰ ĐOÁN VÙNG TRỰC TIẾP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4" w:lineRule="auto"/>
      <w:outlineLvl w:val="0"/>
    </w:pPr>
    <w:rPr>
      <w:rFonts w:asciiTheme="majorHAnsi" w:eastAsiaTheme="majorEastAsia" w:hAnsiTheme="majorHAnsi" w:cstheme="majorBidi" w:ascii="Arial" w:hAnsi="Arial"/>
      <w:b/>
      <w:bCs/>
      <w:color w:val="16465C"/>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heme="majorHAnsi" w:eastAsiaTheme="majorEastAsia" w:hAnsiTheme="majorHAnsi" w:cstheme="majorBidi" w:ascii="Arial" w:hAnsi="Arial"/>
      <w:b/>
      <w:bCs/>
      <w:color w:val="16465C"/>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Theme="majorHAnsi" w:eastAsiaTheme="majorEastAsia" w:hAnsiTheme="majorHAnsi" w:cstheme="majorBidi" w:ascii="Arial" w:hAnsi="Arial"/>
      <w:b/>
      <w:bCs/>
      <w:color w:val="1646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1646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Phương án nghiên cứu dự đoán mưa vùng trực tiếp tại Đà Nẵng</dc:title>
  <dc:subject>Hợp nhất phương án và quyết định theo sáu tiêu chí</dc:subject>
  <dc:creator>Nhóm PBL6</dc:creator>
  <cp:keywords/>
  <dc:description>generated by python-docx</dc:description>
  <cp:lastModifiedBy/>
  <cp:revision>1</cp:revision>
  <dcterms:created xsi:type="dcterms:W3CDTF">2013-12-23T23:15:00Z</dcterms:created>
  <dcterms:modified xsi:type="dcterms:W3CDTF">2013-12-23T23:15:00Z</dcterms:modified>
  <cp:category/>
</cp:coreProperties>
</file>