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 sánh LightGBM, TFT và Informer trên cùng điều kiện</w:t>
      </w:r>
    </w:p>
    <w:p>
      <w:r>
        <w:t xml:space="preserve">Informer hiện </w:t>
      </w:r>
      <w:r>
        <w:rPr>
          <w:b/>
        </w:rPr>
        <w:t>chưa chạy E1–E6</w:t>
      </w:r>
      <w:r>
        <w:t>. TFT đã có 72 lượt E0–E7; LightGBM 24 pipeline E0–E7; Informer 18 lượt E0/E7. Còn 54 lượt Informer để đủ toàn ma trận. Lượt cập nhật này chỉ tổng hợp aggregate đã kiểm chứng, không huấn luyện mới hoặc mở test 2025.</w:t>
      </w:r>
    </w:p>
    <w:p>
      <w:r>
        <w:t>So mô hình cần đặt đủ ba trong cùng E, cùng ngày, cùng mẫu, nhãn, mùa, ngưỡng mưa và quy trình chọn ngưỡng xác suất trên calibration. Không cần huấn luyện cùng lúc hoặc chạy lại LightGBM/TFT. TFT và Informer là trung bình dự đoán ba seed; LightGBM hiện chạy xác định. Cùng nguyên liệu nhưng LightGBM dùng thống kê lịch sử, mạng dùng chuỗi, nên đây là so pipeline chứ chưa cô lập riêng kiến trúc.</w:t>
      </w:r>
    </w:p>
    <w:p>
      <w:r>
        <w:t>Mỗi hạn có 1.075 mốc đánh giá gộp 2021–2023; 114 sự kiện vùng từ 16 mm/24 giờ. Các bảng dưới gộp toàn năm. Tách mùa vẫn có ở báo cáo nguồn; không đổi phạm vi thành chỉ mùa mưa.</w:t>
      </w:r>
    </w:p>
    <w:p>
      <w:pPr>
        <w:pStyle w:val="Heading1"/>
      </w:pPr>
      <w:r>
        <w:t>E7, ngày 1</w:t>
      </w:r>
    </w:p>
    <w:tbl>
      <w:tblPr>
        <w:tblStyle w:val="LightShading-Accent1"/>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cantSplit/>
          <w:tblHeader/>
        </w:trPr>
        <w:tc>
          <w:tcPr>
            <w:tcW w:type="dxa" w:w="1071"/>
            <w:vAlign w:val="center"/>
          </w:tcPr>
          <w:p>
            <w:pPr>
              <w:spacing w:after="80" w:before="60"/>
            </w:pPr>
            <w:r>
              <w:rPr>
                <w:b/>
                <w:sz w:val="19"/>
              </w:rPr>
              <w:t>Mô hình</w:t>
            </w:r>
          </w:p>
        </w:tc>
        <w:tc>
          <w:tcPr>
            <w:tcW w:type="dxa" w:w="1071"/>
            <w:vAlign w:val="center"/>
          </w:tcPr>
          <w:p>
            <w:pPr>
              <w:spacing w:after="80" w:before="60"/>
            </w:pPr>
            <w:r>
              <w:rPr>
                <w:b/>
                <w:sz w:val="19"/>
              </w:rPr>
              <w:t>RMSE ↓</w:t>
            </w:r>
          </w:p>
        </w:tc>
        <w:tc>
          <w:tcPr>
            <w:tcW w:type="dxa" w:w="1071"/>
            <w:vAlign w:val="center"/>
          </w:tcPr>
          <w:p>
            <w:pPr>
              <w:spacing w:after="80" w:before="60"/>
            </w:pPr>
            <w:r>
              <w:rPr>
                <w:b/>
                <w:sz w:val="19"/>
              </w:rPr>
              <w:t>MAE ↓</w:t>
            </w:r>
          </w:p>
        </w:tc>
        <w:tc>
          <w:tcPr>
            <w:tcW w:type="dxa" w:w="1071"/>
            <w:vAlign w:val="center"/>
          </w:tcPr>
          <w:p>
            <w:pPr>
              <w:spacing w:after="80" w:before="60"/>
            </w:pPr>
            <w:r>
              <w:rPr>
                <w:b/>
                <w:sz w:val="19"/>
              </w:rPr>
              <w:t>Bias ≈0</w:t>
            </w:r>
          </w:p>
        </w:tc>
        <w:tc>
          <w:tcPr>
            <w:tcW w:type="dxa" w:w="1071"/>
            <w:vAlign w:val="center"/>
          </w:tcPr>
          <w:p>
            <w:pPr>
              <w:spacing w:after="80" w:before="60"/>
            </w:pPr>
            <w:r>
              <w:rPr>
                <w:b/>
                <w:sz w:val="19"/>
              </w:rPr>
              <w:t>BS ↓</w:t>
            </w:r>
          </w:p>
        </w:tc>
        <w:tc>
          <w:tcPr>
            <w:tcW w:type="dxa" w:w="1071"/>
            <w:vAlign w:val="center"/>
          </w:tcPr>
          <w:p>
            <w:pPr>
              <w:spacing w:after="80" w:before="60"/>
            </w:pPr>
            <w:r>
              <w:rPr>
                <w:b/>
                <w:sz w:val="19"/>
              </w:rPr>
              <w:t>BSS ↑</w:t>
            </w:r>
          </w:p>
        </w:tc>
        <w:tc>
          <w:tcPr>
            <w:tcW w:type="dxa" w:w="1071"/>
            <w:vAlign w:val="center"/>
          </w:tcPr>
          <w:p>
            <w:pPr>
              <w:spacing w:after="80" w:before="60"/>
            </w:pPr>
            <w:r>
              <w:rPr>
                <w:b/>
                <w:sz w:val="19"/>
              </w:rPr>
              <w:t>CSI ↑</w:t>
            </w:r>
          </w:p>
        </w:tc>
        <w:tc>
          <w:tcPr>
            <w:tcW w:type="dxa" w:w="1071"/>
            <w:vAlign w:val="center"/>
          </w:tcPr>
          <w:p>
            <w:pPr>
              <w:spacing w:after="80" w:before="60"/>
            </w:pPr>
            <w:r>
              <w:rPr>
                <w:b/>
                <w:sz w:val="19"/>
              </w:rPr>
              <w:t>POD ↑</w:t>
            </w:r>
          </w:p>
        </w:tc>
        <w:tc>
          <w:tcPr>
            <w:tcW w:type="dxa" w:w="1071"/>
            <w:vAlign w:val="center"/>
          </w:tcPr>
          <w:p>
            <w:pPr>
              <w:spacing w:after="80" w:before="60"/>
            </w:pPr>
            <w:r>
              <w:rPr>
                <w:b/>
                <w:sz w:val="19"/>
              </w:rPr>
              <w:t>FAR ↓</w:t>
            </w:r>
          </w:p>
        </w:tc>
      </w:tr>
      <w:tr>
        <w:trPr>
          <w:cantSplit/>
        </w:trPr>
        <w:tc>
          <w:tcPr>
            <w:tcW w:type="dxa" w:w="1071"/>
            <w:vAlign w:val="center"/>
          </w:tcPr>
          <w:p>
            <w:pPr>
              <w:spacing w:after="80" w:before="60"/>
            </w:pPr>
            <w:r>
              <w:rPr>
                <w:sz w:val="19"/>
              </w:rPr>
              <w:t>LightGBM</w:t>
            </w:r>
          </w:p>
        </w:tc>
        <w:tc>
          <w:tcPr>
            <w:tcW w:type="dxa" w:w="1071"/>
            <w:vAlign w:val="center"/>
          </w:tcPr>
          <w:p>
            <w:pPr>
              <w:spacing w:after="80" w:before="60"/>
            </w:pPr>
            <w:r>
              <w:rPr>
                <w:sz w:val="19"/>
              </w:rPr>
              <w:t>17.706</w:t>
            </w:r>
          </w:p>
        </w:tc>
        <w:tc>
          <w:tcPr>
            <w:tcW w:type="dxa" w:w="1071"/>
            <w:vAlign w:val="center"/>
          </w:tcPr>
          <w:p>
            <w:pPr>
              <w:spacing w:after="80" w:before="60"/>
            </w:pPr>
            <w:r>
              <w:rPr>
                <w:sz w:val="19"/>
              </w:rPr>
              <w:t>5.731</w:t>
            </w:r>
          </w:p>
        </w:tc>
        <w:tc>
          <w:tcPr>
            <w:tcW w:type="dxa" w:w="1071"/>
            <w:vAlign w:val="center"/>
          </w:tcPr>
          <w:p>
            <w:pPr>
              <w:spacing w:after="80" w:before="60"/>
            </w:pPr>
            <w:r>
              <w:rPr>
                <w:sz w:val="19"/>
              </w:rPr>
              <w:t>-2.003</w:t>
            </w:r>
          </w:p>
        </w:tc>
        <w:tc>
          <w:tcPr>
            <w:tcW w:type="dxa" w:w="1071"/>
            <w:vAlign w:val="center"/>
          </w:tcPr>
          <w:p>
            <w:pPr>
              <w:spacing w:after="80" w:before="60"/>
            </w:pPr>
            <w:r>
              <w:rPr>
                <w:sz w:val="19"/>
              </w:rPr>
              <w:t>0.058</w:t>
            </w:r>
          </w:p>
        </w:tc>
        <w:tc>
          <w:tcPr>
            <w:tcW w:type="dxa" w:w="1071"/>
            <w:vAlign w:val="center"/>
          </w:tcPr>
          <w:p>
            <w:pPr>
              <w:spacing w:after="80" w:before="60"/>
            </w:pPr>
            <w:r>
              <w:rPr>
                <w:sz w:val="19"/>
              </w:rPr>
              <w:t>0.303</w:t>
            </w:r>
          </w:p>
        </w:tc>
        <w:tc>
          <w:tcPr>
            <w:tcW w:type="dxa" w:w="1071"/>
            <w:vAlign w:val="center"/>
          </w:tcPr>
          <w:p>
            <w:pPr>
              <w:spacing w:after="80" w:before="60"/>
            </w:pPr>
            <w:r>
              <w:rPr>
                <w:sz w:val="19"/>
              </w:rPr>
              <w:t>0.411</w:t>
            </w:r>
          </w:p>
        </w:tc>
        <w:tc>
          <w:tcPr>
            <w:tcW w:type="dxa" w:w="1071"/>
            <w:vAlign w:val="center"/>
          </w:tcPr>
          <w:p>
            <w:pPr>
              <w:spacing w:after="80" w:before="60"/>
            </w:pPr>
            <w:r>
              <w:rPr>
                <w:sz w:val="19"/>
              </w:rPr>
              <w:t>0.526</w:t>
            </w:r>
          </w:p>
        </w:tc>
        <w:tc>
          <w:tcPr>
            <w:tcW w:type="dxa" w:w="1071"/>
            <w:vAlign w:val="center"/>
          </w:tcPr>
          <w:p>
            <w:pPr>
              <w:spacing w:after="80" w:before="60"/>
            </w:pPr>
            <w:r>
              <w:rPr>
                <w:sz w:val="19"/>
              </w:rPr>
              <w:t>0.348</w:t>
            </w:r>
          </w:p>
        </w:tc>
      </w:tr>
      <w:tr>
        <w:trPr>
          <w:cantSplit/>
        </w:trPr>
        <w:tc>
          <w:tcPr>
            <w:tcW w:type="dxa" w:w="1071"/>
            <w:vAlign w:val="center"/>
          </w:tcPr>
          <w:p>
            <w:pPr>
              <w:spacing w:after="80" w:before="60"/>
            </w:pPr>
            <w:r>
              <w:rPr>
                <w:sz w:val="19"/>
              </w:rPr>
              <w:t>TFT</w:t>
            </w:r>
          </w:p>
        </w:tc>
        <w:tc>
          <w:tcPr>
            <w:tcW w:type="dxa" w:w="1071"/>
            <w:vAlign w:val="center"/>
          </w:tcPr>
          <w:p>
            <w:pPr>
              <w:spacing w:after="80" w:before="60"/>
            </w:pPr>
            <w:r>
              <w:rPr>
                <w:sz w:val="19"/>
              </w:rPr>
              <w:t>20.361</w:t>
            </w:r>
          </w:p>
        </w:tc>
        <w:tc>
          <w:tcPr>
            <w:tcW w:type="dxa" w:w="1071"/>
            <w:vAlign w:val="center"/>
          </w:tcPr>
          <w:p>
            <w:pPr>
              <w:spacing w:after="80" w:before="60"/>
            </w:pPr>
            <w:r>
              <w:rPr>
                <w:sz w:val="19"/>
              </w:rPr>
              <w:t>6.695</w:t>
            </w:r>
          </w:p>
        </w:tc>
        <w:tc>
          <w:tcPr>
            <w:tcW w:type="dxa" w:w="1071"/>
            <w:vAlign w:val="center"/>
          </w:tcPr>
          <w:p>
            <w:pPr>
              <w:spacing w:after="80" w:before="60"/>
            </w:pPr>
            <w:r>
              <w:rPr>
                <w:sz w:val="19"/>
              </w:rPr>
              <w:t>-2.710</w:t>
            </w:r>
          </w:p>
        </w:tc>
        <w:tc>
          <w:tcPr>
            <w:tcW w:type="dxa" w:w="1071"/>
            <w:vAlign w:val="center"/>
          </w:tcPr>
          <w:p>
            <w:pPr>
              <w:spacing w:after="80" w:before="60"/>
            </w:pPr>
            <w:r>
              <w:rPr>
                <w:sz w:val="19"/>
              </w:rPr>
              <w:t>0.062</w:t>
            </w:r>
          </w:p>
        </w:tc>
        <w:tc>
          <w:tcPr>
            <w:tcW w:type="dxa" w:w="1071"/>
            <w:vAlign w:val="center"/>
          </w:tcPr>
          <w:p>
            <w:pPr>
              <w:spacing w:after="80" w:before="60"/>
            </w:pPr>
            <w:r>
              <w:rPr>
                <w:sz w:val="19"/>
              </w:rPr>
              <w:t>0.246</w:t>
            </w:r>
          </w:p>
        </w:tc>
        <w:tc>
          <w:tcPr>
            <w:tcW w:type="dxa" w:w="1071"/>
            <w:vAlign w:val="center"/>
          </w:tcPr>
          <w:p>
            <w:pPr>
              <w:spacing w:after="80" w:before="60"/>
            </w:pPr>
            <w:r>
              <w:rPr>
                <w:sz w:val="19"/>
              </w:rPr>
              <w:t>0.406</w:t>
            </w:r>
          </w:p>
        </w:tc>
        <w:tc>
          <w:tcPr>
            <w:tcW w:type="dxa" w:w="1071"/>
            <w:vAlign w:val="center"/>
          </w:tcPr>
          <w:p>
            <w:pPr>
              <w:spacing w:after="80" w:before="60"/>
            </w:pPr>
            <w:r>
              <w:rPr>
                <w:sz w:val="19"/>
              </w:rPr>
              <w:t>0.640</w:t>
            </w:r>
          </w:p>
        </w:tc>
        <w:tc>
          <w:tcPr>
            <w:tcW w:type="dxa" w:w="1071"/>
            <w:vAlign w:val="center"/>
          </w:tcPr>
          <w:p>
            <w:pPr>
              <w:spacing w:after="80" w:before="60"/>
            </w:pPr>
            <w:r>
              <w:rPr>
                <w:sz w:val="19"/>
              </w:rPr>
              <w:t>0.475</w:t>
            </w:r>
          </w:p>
        </w:tc>
      </w:tr>
      <w:tr>
        <w:trPr>
          <w:cantSplit/>
        </w:trPr>
        <w:tc>
          <w:tcPr>
            <w:tcW w:type="dxa" w:w="1071"/>
            <w:vAlign w:val="center"/>
          </w:tcPr>
          <w:p>
            <w:pPr>
              <w:spacing w:after="80" w:before="60"/>
            </w:pPr>
            <w:r>
              <w:rPr>
                <w:sz w:val="19"/>
              </w:rPr>
              <w:t>Informer</w:t>
            </w:r>
          </w:p>
        </w:tc>
        <w:tc>
          <w:tcPr>
            <w:tcW w:type="dxa" w:w="1071"/>
            <w:vAlign w:val="center"/>
          </w:tcPr>
          <w:p>
            <w:pPr>
              <w:spacing w:after="80" w:before="60"/>
            </w:pPr>
            <w:r>
              <w:rPr>
                <w:sz w:val="19"/>
              </w:rPr>
              <w:t>20.486</w:t>
            </w:r>
          </w:p>
        </w:tc>
        <w:tc>
          <w:tcPr>
            <w:tcW w:type="dxa" w:w="1071"/>
            <w:vAlign w:val="center"/>
          </w:tcPr>
          <w:p>
            <w:pPr>
              <w:spacing w:after="80" w:before="60"/>
            </w:pPr>
            <w:r>
              <w:rPr>
                <w:sz w:val="19"/>
              </w:rPr>
              <w:t>6.810</w:t>
            </w:r>
          </w:p>
        </w:tc>
        <w:tc>
          <w:tcPr>
            <w:tcW w:type="dxa" w:w="1071"/>
            <w:vAlign w:val="center"/>
          </w:tcPr>
          <w:p>
            <w:pPr>
              <w:spacing w:after="80" w:before="60"/>
            </w:pPr>
            <w:r>
              <w:rPr>
                <w:sz w:val="19"/>
              </w:rPr>
              <w:t>-2.659</w:t>
            </w:r>
          </w:p>
        </w:tc>
        <w:tc>
          <w:tcPr>
            <w:tcW w:type="dxa" w:w="1071"/>
            <w:vAlign w:val="center"/>
          </w:tcPr>
          <w:p>
            <w:pPr>
              <w:spacing w:after="80" w:before="60"/>
            </w:pPr>
            <w:r>
              <w:rPr>
                <w:sz w:val="19"/>
              </w:rPr>
              <w:t>0.060</w:t>
            </w:r>
          </w:p>
        </w:tc>
        <w:tc>
          <w:tcPr>
            <w:tcW w:type="dxa" w:w="1071"/>
            <w:vAlign w:val="center"/>
          </w:tcPr>
          <w:p>
            <w:pPr>
              <w:spacing w:after="80" w:before="60"/>
            </w:pPr>
            <w:r>
              <w:rPr>
                <w:sz w:val="19"/>
              </w:rPr>
              <w:t>0.278</w:t>
            </w:r>
          </w:p>
        </w:tc>
        <w:tc>
          <w:tcPr>
            <w:tcW w:type="dxa" w:w="1071"/>
            <w:vAlign w:val="center"/>
          </w:tcPr>
          <w:p>
            <w:pPr>
              <w:spacing w:after="80" w:before="60"/>
            </w:pPr>
            <w:r>
              <w:rPr>
                <w:sz w:val="19"/>
              </w:rPr>
              <w:t>0.440</w:t>
            </w:r>
          </w:p>
        </w:tc>
        <w:tc>
          <w:tcPr>
            <w:tcW w:type="dxa" w:w="1071"/>
            <w:vAlign w:val="center"/>
          </w:tcPr>
          <w:p>
            <w:pPr>
              <w:spacing w:after="80" w:before="60"/>
            </w:pPr>
            <w:r>
              <w:rPr>
                <w:sz w:val="19"/>
              </w:rPr>
              <w:t>0.614</w:t>
            </w:r>
          </w:p>
        </w:tc>
        <w:tc>
          <w:tcPr>
            <w:tcW w:type="dxa" w:w="1071"/>
            <w:vAlign w:val="center"/>
          </w:tcPr>
          <w:p>
            <w:pPr>
              <w:spacing w:after="80" w:before="60"/>
            </w:pPr>
            <w:r>
              <w:rPr>
                <w:sz w:val="19"/>
              </w:rPr>
              <w:t>0.391</w:t>
            </w:r>
          </w:p>
        </w:tc>
      </w:tr>
    </w:tbl>
    <w:p>
      <w:pPr>
        <w:spacing w:after="20"/>
      </w:pPr>
    </w:p>
    <w:p>
      <w:r>
        <w:t>LightGBM tốt hơn về RMSE, MAE, BSS và FAR.</w:t>
      </w:r>
    </w:p>
    <w:p>
      <w:r>
        <w:t>Informer có CSI cao nhất; TFT có POD cao nhất.</w:t>
      </w:r>
    </w:p>
    <w:p>
      <w:pPr>
        <w:pStyle w:val="Heading1"/>
      </w:pPr>
      <w:r>
        <w:t>E7, ngày 2</w:t>
      </w:r>
    </w:p>
    <w:tbl>
      <w:tblPr>
        <w:tblStyle w:val="LightShading-Accent1"/>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cantSplit/>
          <w:tblHeader/>
        </w:trPr>
        <w:tc>
          <w:tcPr>
            <w:tcW w:type="dxa" w:w="1071"/>
            <w:vAlign w:val="center"/>
          </w:tcPr>
          <w:p>
            <w:pPr>
              <w:spacing w:after="80" w:before="60"/>
            </w:pPr>
            <w:r>
              <w:rPr>
                <w:b/>
                <w:sz w:val="19"/>
              </w:rPr>
              <w:t>Mô hình</w:t>
            </w:r>
          </w:p>
        </w:tc>
        <w:tc>
          <w:tcPr>
            <w:tcW w:type="dxa" w:w="1071"/>
            <w:vAlign w:val="center"/>
          </w:tcPr>
          <w:p>
            <w:pPr>
              <w:spacing w:after="80" w:before="60"/>
            </w:pPr>
            <w:r>
              <w:rPr>
                <w:b/>
                <w:sz w:val="19"/>
              </w:rPr>
              <w:t>RMSE ↓</w:t>
            </w:r>
          </w:p>
        </w:tc>
        <w:tc>
          <w:tcPr>
            <w:tcW w:type="dxa" w:w="1071"/>
            <w:vAlign w:val="center"/>
          </w:tcPr>
          <w:p>
            <w:pPr>
              <w:spacing w:after="80" w:before="60"/>
            </w:pPr>
            <w:r>
              <w:rPr>
                <w:b/>
                <w:sz w:val="19"/>
              </w:rPr>
              <w:t>MAE ↓</w:t>
            </w:r>
          </w:p>
        </w:tc>
        <w:tc>
          <w:tcPr>
            <w:tcW w:type="dxa" w:w="1071"/>
            <w:vAlign w:val="center"/>
          </w:tcPr>
          <w:p>
            <w:pPr>
              <w:spacing w:after="80" w:before="60"/>
            </w:pPr>
            <w:r>
              <w:rPr>
                <w:b/>
                <w:sz w:val="19"/>
              </w:rPr>
              <w:t>Bias ≈0</w:t>
            </w:r>
          </w:p>
        </w:tc>
        <w:tc>
          <w:tcPr>
            <w:tcW w:type="dxa" w:w="1071"/>
            <w:vAlign w:val="center"/>
          </w:tcPr>
          <w:p>
            <w:pPr>
              <w:spacing w:after="80" w:before="60"/>
            </w:pPr>
            <w:r>
              <w:rPr>
                <w:b/>
                <w:sz w:val="19"/>
              </w:rPr>
              <w:t>BS ↓</w:t>
            </w:r>
          </w:p>
        </w:tc>
        <w:tc>
          <w:tcPr>
            <w:tcW w:type="dxa" w:w="1071"/>
            <w:vAlign w:val="center"/>
          </w:tcPr>
          <w:p>
            <w:pPr>
              <w:spacing w:after="80" w:before="60"/>
            </w:pPr>
            <w:r>
              <w:rPr>
                <w:b/>
                <w:sz w:val="19"/>
              </w:rPr>
              <w:t>BSS ↑</w:t>
            </w:r>
          </w:p>
        </w:tc>
        <w:tc>
          <w:tcPr>
            <w:tcW w:type="dxa" w:w="1071"/>
            <w:vAlign w:val="center"/>
          </w:tcPr>
          <w:p>
            <w:pPr>
              <w:spacing w:after="80" w:before="60"/>
            </w:pPr>
            <w:r>
              <w:rPr>
                <w:b/>
                <w:sz w:val="19"/>
              </w:rPr>
              <w:t>CSI ↑</w:t>
            </w:r>
          </w:p>
        </w:tc>
        <w:tc>
          <w:tcPr>
            <w:tcW w:type="dxa" w:w="1071"/>
            <w:vAlign w:val="center"/>
          </w:tcPr>
          <w:p>
            <w:pPr>
              <w:spacing w:after="80" w:before="60"/>
            </w:pPr>
            <w:r>
              <w:rPr>
                <w:b/>
                <w:sz w:val="19"/>
              </w:rPr>
              <w:t>POD ↑</w:t>
            </w:r>
          </w:p>
        </w:tc>
        <w:tc>
          <w:tcPr>
            <w:tcW w:type="dxa" w:w="1071"/>
            <w:vAlign w:val="center"/>
          </w:tcPr>
          <w:p>
            <w:pPr>
              <w:spacing w:after="80" w:before="60"/>
            </w:pPr>
            <w:r>
              <w:rPr>
                <w:b/>
                <w:sz w:val="19"/>
              </w:rPr>
              <w:t>FAR ↓</w:t>
            </w:r>
          </w:p>
        </w:tc>
      </w:tr>
      <w:tr>
        <w:trPr>
          <w:cantSplit/>
        </w:trPr>
        <w:tc>
          <w:tcPr>
            <w:tcW w:type="dxa" w:w="1071"/>
            <w:vAlign w:val="center"/>
          </w:tcPr>
          <w:p>
            <w:pPr>
              <w:spacing w:after="80" w:before="60"/>
            </w:pPr>
            <w:r>
              <w:rPr>
                <w:sz w:val="19"/>
              </w:rPr>
              <w:t>LightGBM</w:t>
            </w:r>
          </w:p>
        </w:tc>
        <w:tc>
          <w:tcPr>
            <w:tcW w:type="dxa" w:w="1071"/>
            <w:vAlign w:val="center"/>
          </w:tcPr>
          <w:p>
            <w:pPr>
              <w:spacing w:after="80" w:before="60"/>
            </w:pPr>
            <w:r>
              <w:rPr>
                <w:sz w:val="19"/>
              </w:rPr>
              <w:t>20.756</w:t>
            </w:r>
          </w:p>
        </w:tc>
        <w:tc>
          <w:tcPr>
            <w:tcW w:type="dxa" w:w="1071"/>
            <w:vAlign w:val="center"/>
          </w:tcPr>
          <w:p>
            <w:pPr>
              <w:spacing w:after="80" w:before="60"/>
            </w:pPr>
            <w:r>
              <w:rPr>
                <w:sz w:val="19"/>
              </w:rPr>
              <w:t>7.238</w:t>
            </w:r>
          </w:p>
        </w:tc>
        <w:tc>
          <w:tcPr>
            <w:tcW w:type="dxa" w:w="1071"/>
            <w:vAlign w:val="center"/>
          </w:tcPr>
          <w:p>
            <w:pPr>
              <w:spacing w:after="80" w:before="60"/>
            </w:pPr>
            <w:r>
              <w:rPr>
                <w:sz w:val="19"/>
              </w:rPr>
              <w:t>-2.551</w:t>
            </w:r>
          </w:p>
        </w:tc>
        <w:tc>
          <w:tcPr>
            <w:tcW w:type="dxa" w:w="1071"/>
            <w:vAlign w:val="center"/>
          </w:tcPr>
          <w:p>
            <w:pPr>
              <w:spacing w:after="80" w:before="60"/>
            </w:pPr>
            <w:r>
              <w:rPr>
                <w:sz w:val="19"/>
              </w:rPr>
              <w:t>0.079</w:t>
            </w:r>
          </w:p>
        </w:tc>
        <w:tc>
          <w:tcPr>
            <w:tcW w:type="dxa" w:w="1071"/>
            <w:vAlign w:val="center"/>
          </w:tcPr>
          <w:p>
            <w:pPr>
              <w:spacing w:after="80" w:before="60"/>
            </w:pPr>
            <w:r>
              <w:rPr>
                <w:sz w:val="19"/>
              </w:rPr>
              <w:t>0.043</w:t>
            </w:r>
          </w:p>
        </w:tc>
        <w:tc>
          <w:tcPr>
            <w:tcW w:type="dxa" w:w="1071"/>
            <w:vAlign w:val="center"/>
          </w:tcPr>
          <w:p>
            <w:pPr>
              <w:spacing w:after="80" w:before="60"/>
            </w:pPr>
            <w:r>
              <w:rPr>
                <w:sz w:val="19"/>
              </w:rPr>
              <w:t>0.277</w:t>
            </w:r>
          </w:p>
        </w:tc>
        <w:tc>
          <w:tcPr>
            <w:tcW w:type="dxa" w:w="1071"/>
            <w:vAlign w:val="center"/>
          </w:tcPr>
          <w:p>
            <w:pPr>
              <w:spacing w:after="80" w:before="60"/>
            </w:pPr>
            <w:r>
              <w:rPr>
                <w:sz w:val="19"/>
              </w:rPr>
              <w:t>0.456</w:t>
            </w:r>
          </w:p>
        </w:tc>
        <w:tc>
          <w:tcPr>
            <w:tcW w:type="dxa" w:w="1071"/>
            <w:vAlign w:val="center"/>
          </w:tcPr>
          <w:p>
            <w:pPr>
              <w:spacing w:after="80" w:before="60"/>
            </w:pPr>
            <w:r>
              <w:rPr>
                <w:sz w:val="19"/>
              </w:rPr>
              <w:t>0.587</w:t>
            </w:r>
          </w:p>
        </w:tc>
      </w:tr>
      <w:tr>
        <w:trPr>
          <w:cantSplit/>
        </w:trPr>
        <w:tc>
          <w:tcPr>
            <w:tcW w:type="dxa" w:w="1071"/>
            <w:vAlign w:val="center"/>
          </w:tcPr>
          <w:p>
            <w:pPr>
              <w:spacing w:after="80" w:before="60"/>
            </w:pPr>
            <w:r>
              <w:rPr>
                <w:sz w:val="19"/>
              </w:rPr>
              <w:t>TFT</w:t>
            </w:r>
          </w:p>
        </w:tc>
        <w:tc>
          <w:tcPr>
            <w:tcW w:type="dxa" w:w="1071"/>
            <w:vAlign w:val="center"/>
          </w:tcPr>
          <w:p>
            <w:pPr>
              <w:spacing w:after="80" w:before="60"/>
            </w:pPr>
            <w:r>
              <w:rPr>
                <w:sz w:val="19"/>
              </w:rPr>
              <w:t>21.018</w:t>
            </w:r>
          </w:p>
        </w:tc>
        <w:tc>
          <w:tcPr>
            <w:tcW w:type="dxa" w:w="1071"/>
            <w:vAlign w:val="center"/>
          </w:tcPr>
          <w:p>
            <w:pPr>
              <w:spacing w:after="80" w:before="60"/>
            </w:pPr>
            <w:r>
              <w:rPr>
                <w:sz w:val="19"/>
              </w:rPr>
              <w:t>7.566</w:t>
            </w:r>
          </w:p>
        </w:tc>
        <w:tc>
          <w:tcPr>
            <w:tcW w:type="dxa" w:w="1071"/>
            <w:vAlign w:val="center"/>
          </w:tcPr>
          <w:p>
            <w:pPr>
              <w:spacing w:after="80" w:before="60"/>
            </w:pPr>
            <w:r>
              <w:rPr>
                <w:sz w:val="19"/>
              </w:rPr>
              <w:t>-2.105</w:t>
            </w:r>
          </w:p>
        </w:tc>
        <w:tc>
          <w:tcPr>
            <w:tcW w:type="dxa" w:w="1071"/>
            <w:vAlign w:val="center"/>
          </w:tcPr>
          <w:p>
            <w:pPr>
              <w:spacing w:after="80" w:before="60"/>
            </w:pPr>
            <w:r>
              <w:rPr>
                <w:sz w:val="19"/>
              </w:rPr>
              <w:t>0.080</w:t>
            </w:r>
          </w:p>
        </w:tc>
        <w:tc>
          <w:tcPr>
            <w:tcW w:type="dxa" w:w="1071"/>
            <w:vAlign w:val="center"/>
          </w:tcPr>
          <w:p>
            <w:pPr>
              <w:spacing w:after="80" w:before="60"/>
            </w:pPr>
            <w:r>
              <w:rPr>
                <w:sz w:val="19"/>
              </w:rPr>
              <w:t>0.028</w:t>
            </w:r>
          </w:p>
        </w:tc>
        <w:tc>
          <w:tcPr>
            <w:tcW w:type="dxa" w:w="1071"/>
            <w:vAlign w:val="center"/>
          </w:tcPr>
          <w:p>
            <w:pPr>
              <w:spacing w:after="80" w:before="60"/>
            </w:pPr>
            <w:r>
              <w:rPr>
                <w:sz w:val="19"/>
              </w:rPr>
              <w:t>0.257</w:t>
            </w:r>
          </w:p>
        </w:tc>
        <w:tc>
          <w:tcPr>
            <w:tcW w:type="dxa" w:w="1071"/>
            <w:vAlign w:val="center"/>
          </w:tcPr>
          <w:p>
            <w:pPr>
              <w:spacing w:after="80" w:before="60"/>
            </w:pPr>
            <w:r>
              <w:rPr>
                <w:sz w:val="19"/>
              </w:rPr>
              <w:t>0.509</w:t>
            </w:r>
          </w:p>
        </w:tc>
        <w:tc>
          <w:tcPr>
            <w:tcW w:type="dxa" w:w="1071"/>
            <w:vAlign w:val="center"/>
          </w:tcPr>
          <w:p>
            <w:pPr>
              <w:spacing w:after="80" w:before="60"/>
            </w:pPr>
            <w:r>
              <w:rPr>
                <w:sz w:val="19"/>
              </w:rPr>
              <w:t>0.659</w:t>
            </w:r>
          </w:p>
        </w:tc>
      </w:tr>
      <w:tr>
        <w:trPr>
          <w:cantSplit/>
        </w:trPr>
        <w:tc>
          <w:tcPr>
            <w:tcW w:type="dxa" w:w="1071"/>
            <w:vAlign w:val="center"/>
          </w:tcPr>
          <w:p>
            <w:pPr>
              <w:spacing w:after="80" w:before="60"/>
            </w:pPr>
            <w:r>
              <w:rPr>
                <w:sz w:val="19"/>
              </w:rPr>
              <w:t>Informer</w:t>
            </w:r>
          </w:p>
        </w:tc>
        <w:tc>
          <w:tcPr>
            <w:tcW w:type="dxa" w:w="1071"/>
            <w:vAlign w:val="center"/>
          </w:tcPr>
          <w:p>
            <w:pPr>
              <w:spacing w:after="80" w:before="60"/>
            </w:pPr>
            <w:r>
              <w:rPr>
                <w:sz w:val="19"/>
              </w:rPr>
              <w:t>21.190</w:t>
            </w:r>
          </w:p>
        </w:tc>
        <w:tc>
          <w:tcPr>
            <w:tcW w:type="dxa" w:w="1071"/>
            <w:vAlign w:val="center"/>
          </w:tcPr>
          <w:p>
            <w:pPr>
              <w:spacing w:after="80" w:before="60"/>
            </w:pPr>
            <w:r>
              <w:rPr>
                <w:sz w:val="19"/>
              </w:rPr>
              <w:t>7.717</w:t>
            </w:r>
          </w:p>
        </w:tc>
        <w:tc>
          <w:tcPr>
            <w:tcW w:type="dxa" w:w="1071"/>
            <w:vAlign w:val="center"/>
          </w:tcPr>
          <w:p>
            <w:pPr>
              <w:spacing w:after="80" w:before="60"/>
            </w:pPr>
            <w:r>
              <w:rPr>
                <w:sz w:val="19"/>
              </w:rPr>
              <w:t>-2.069</w:t>
            </w:r>
          </w:p>
        </w:tc>
        <w:tc>
          <w:tcPr>
            <w:tcW w:type="dxa" w:w="1071"/>
            <w:vAlign w:val="center"/>
          </w:tcPr>
          <w:p>
            <w:pPr>
              <w:spacing w:after="80" w:before="60"/>
            </w:pPr>
            <w:r>
              <w:rPr>
                <w:sz w:val="19"/>
              </w:rPr>
              <w:t>0.081</w:t>
            </w:r>
          </w:p>
        </w:tc>
        <w:tc>
          <w:tcPr>
            <w:tcW w:type="dxa" w:w="1071"/>
            <w:vAlign w:val="center"/>
          </w:tcPr>
          <w:p>
            <w:pPr>
              <w:spacing w:after="80" w:before="60"/>
            </w:pPr>
            <w:r>
              <w:rPr>
                <w:sz w:val="19"/>
              </w:rPr>
              <w:t>0.025</w:t>
            </w:r>
          </w:p>
        </w:tc>
        <w:tc>
          <w:tcPr>
            <w:tcW w:type="dxa" w:w="1071"/>
            <w:vAlign w:val="center"/>
          </w:tcPr>
          <w:p>
            <w:pPr>
              <w:spacing w:after="80" w:before="60"/>
            </w:pPr>
            <w:r>
              <w:rPr>
                <w:sz w:val="19"/>
              </w:rPr>
              <w:t>0.239</w:t>
            </w:r>
          </w:p>
        </w:tc>
        <w:tc>
          <w:tcPr>
            <w:tcW w:type="dxa" w:w="1071"/>
            <w:vAlign w:val="center"/>
          </w:tcPr>
          <w:p>
            <w:pPr>
              <w:spacing w:after="80" w:before="60"/>
            </w:pPr>
            <w:r>
              <w:rPr>
                <w:sz w:val="19"/>
              </w:rPr>
              <w:t>0.447</w:t>
            </w:r>
          </w:p>
        </w:tc>
        <w:tc>
          <w:tcPr>
            <w:tcW w:type="dxa" w:w="1071"/>
            <w:vAlign w:val="center"/>
          </w:tcPr>
          <w:p>
            <w:pPr>
              <w:spacing w:after="80" w:before="60"/>
            </w:pPr>
            <w:r>
              <w:rPr>
                <w:sz w:val="19"/>
              </w:rPr>
              <w:t>0.660</w:t>
            </w:r>
          </w:p>
        </w:tc>
      </w:tr>
    </w:tbl>
    <w:p>
      <w:pPr>
        <w:spacing w:after="20"/>
      </w:pPr>
    </w:p>
    <w:p>
      <w:r>
        <w:t>LightGBM tốt hơn ở nhiều chỉ số; TFT có POD cao nhất.</w:t>
      </w:r>
    </w:p>
    <w:p>
      <w:r>
        <w:t>Mọi BSS đều dương nhưng chỉ còn khoảng 0,025–0,043.</w:t>
      </w:r>
    </w:p>
    <w:p>
      <w:pPr>
        <w:pStyle w:val="Heading1"/>
      </w:pPr>
      <w:r>
        <w:t>E7, ngày 3</w:t>
      </w:r>
    </w:p>
    <w:tbl>
      <w:tblPr>
        <w:tblStyle w:val="LightShading-Accent1"/>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cantSplit/>
          <w:tblHeader/>
        </w:trPr>
        <w:tc>
          <w:tcPr>
            <w:tcW w:type="dxa" w:w="1071"/>
            <w:vAlign w:val="center"/>
          </w:tcPr>
          <w:p>
            <w:pPr>
              <w:spacing w:after="80" w:before="60"/>
            </w:pPr>
            <w:r>
              <w:rPr>
                <w:b/>
                <w:sz w:val="19"/>
              </w:rPr>
              <w:t>Mô hình</w:t>
            </w:r>
          </w:p>
        </w:tc>
        <w:tc>
          <w:tcPr>
            <w:tcW w:type="dxa" w:w="1071"/>
            <w:vAlign w:val="center"/>
          </w:tcPr>
          <w:p>
            <w:pPr>
              <w:spacing w:after="80" w:before="60"/>
            </w:pPr>
            <w:r>
              <w:rPr>
                <w:b/>
                <w:sz w:val="19"/>
              </w:rPr>
              <w:t>RMSE ↓</w:t>
            </w:r>
          </w:p>
        </w:tc>
        <w:tc>
          <w:tcPr>
            <w:tcW w:type="dxa" w:w="1071"/>
            <w:vAlign w:val="center"/>
          </w:tcPr>
          <w:p>
            <w:pPr>
              <w:spacing w:after="80" w:before="60"/>
            </w:pPr>
            <w:r>
              <w:rPr>
                <w:b/>
                <w:sz w:val="19"/>
              </w:rPr>
              <w:t>MAE ↓</w:t>
            </w:r>
          </w:p>
        </w:tc>
        <w:tc>
          <w:tcPr>
            <w:tcW w:type="dxa" w:w="1071"/>
            <w:vAlign w:val="center"/>
          </w:tcPr>
          <w:p>
            <w:pPr>
              <w:spacing w:after="80" w:before="60"/>
            </w:pPr>
            <w:r>
              <w:rPr>
                <w:b/>
                <w:sz w:val="19"/>
              </w:rPr>
              <w:t>Bias ≈0</w:t>
            </w:r>
          </w:p>
        </w:tc>
        <w:tc>
          <w:tcPr>
            <w:tcW w:type="dxa" w:w="1071"/>
            <w:vAlign w:val="center"/>
          </w:tcPr>
          <w:p>
            <w:pPr>
              <w:spacing w:after="80" w:before="60"/>
            </w:pPr>
            <w:r>
              <w:rPr>
                <w:b/>
                <w:sz w:val="19"/>
              </w:rPr>
              <w:t>BS ↓</w:t>
            </w:r>
          </w:p>
        </w:tc>
        <w:tc>
          <w:tcPr>
            <w:tcW w:type="dxa" w:w="1071"/>
            <w:vAlign w:val="center"/>
          </w:tcPr>
          <w:p>
            <w:pPr>
              <w:spacing w:after="80" w:before="60"/>
            </w:pPr>
            <w:r>
              <w:rPr>
                <w:b/>
                <w:sz w:val="19"/>
              </w:rPr>
              <w:t>BSS ↑</w:t>
            </w:r>
          </w:p>
        </w:tc>
        <w:tc>
          <w:tcPr>
            <w:tcW w:type="dxa" w:w="1071"/>
            <w:vAlign w:val="center"/>
          </w:tcPr>
          <w:p>
            <w:pPr>
              <w:spacing w:after="80" w:before="60"/>
            </w:pPr>
            <w:r>
              <w:rPr>
                <w:b/>
                <w:sz w:val="19"/>
              </w:rPr>
              <w:t>CSI ↑</w:t>
            </w:r>
          </w:p>
        </w:tc>
        <w:tc>
          <w:tcPr>
            <w:tcW w:type="dxa" w:w="1071"/>
            <w:vAlign w:val="center"/>
          </w:tcPr>
          <w:p>
            <w:pPr>
              <w:spacing w:after="80" w:before="60"/>
            </w:pPr>
            <w:r>
              <w:rPr>
                <w:b/>
                <w:sz w:val="19"/>
              </w:rPr>
              <w:t>POD ↑</w:t>
            </w:r>
          </w:p>
        </w:tc>
        <w:tc>
          <w:tcPr>
            <w:tcW w:type="dxa" w:w="1071"/>
            <w:vAlign w:val="center"/>
          </w:tcPr>
          <w:p>
            <w:pPr>
              <w:spacing w:after="80" w:before="60"/>
            </w:pPr>
            <w:r>
              <w:rPr>
                <w:b/>
                <w:sz w:val="19"/>
              </w:rPr>
              <w:t>FAR ↓</w:t>
            </w:r>
          </w:p>
        </w:tc>
      </w:tr>
      <w:tr>
        <w:trPr>
          <w:cantSplit/>
        </w:trPr>
        <w:tc>
          <w:tcPr>
            <w:tcW w:type="dxa" w:w="1071"/>
            <w:vAlign w:val="center"/>
          </w:tcPr>
          <w:p>
            <w:pPr>
              <w:spacing w:after="80" w:before="60"/>
            </w:pPr>
            <w:r>
              <w:rPr>
                <w:sz w:val="19"/>
              </w:rPr>
              <w:t>LightGBM</w:t>
            </w:r>
          </w:p>
        </w:tc>
        <w:tc>
          <w:tcPr>
            <w:tcW w:type="dxa" w:w="1071"/>
            <w:vAlign w:val="center"/>
          </w:tcPr>
          <w:p>
            <w:pPr>
              <w:spacing w:after="80" w:before="60"/>
            </w:pPr>
            <w:r>
              <w:rPr>
                <w:sz w:val="19"/>
              </w:rPr>
              <w:t>21.742</w:t>
            </w:r>
          </w:p>
        </w:tc>
        <w:tc>
          <w:tcPr>
            <w:tcW w:type="dxa" w:w="1071"/>
            <w:vAlign w:val="center"/>
          </w:tcPr>
          <w:p>
            <w:pPr>
              <w:spacing w:after="80" w:before="60"/>
            </w:pPr>
            <w:r>
              <w:rPr>
                <w:sz w:val="19"/>
              </w:rPr>
              <w:t>7.666</w:t>
            </w:r>
          </w:p>
        </w:tc>
        <w:tc>
          <w:tcPr>
            <w:tcW w:type="dxa" w:w="1071"/>
            <w:vAlign w:val="center"/>
          </w:tcPr>
          <w:p>
            <w:pPr>
              <w:spacing w:after="80" w:before="60"/>
            </w:pPr>
            <w:r>
              <w:rPr>
                <w:sz w:val="19"/>
              </w:rPr>
              <w:t>-2.900</w:t>
            </w:r>
          </w:p>
        </w:tc>
        <w:tc>
          <w:tcPr>
            <w:tcW w:type="dxa" w:w="1071"/>
            <w:vAlign w:val="center"/>
          </w:tcPr>
          <w:p>
            <w:pPr>
              <w:spacing w:after="80" w:before="60"/>
            </w:pPr>
            <w:r>
              <w:rPr>
                <w:sz w:val="19"/>
              </w:rPr>
              <w:t>0.089</w:t>
            </w:r>
          </w:p>
        </w:tc>
        <w:tc>
          <w:tcPr>
            <w:tcW w:type="dxa" w:w="1071"/>
            <w:vAlign w:val="center"/>
          </w:tcPr>
          <w:p>
            <w:pPr>
              <w:spacing w:after="80" w:before="60"/>
            </w:pPr>
            <w:r>
              <w:rPr>
                <w:sz w:val="19"/>
              </w:rPr>
              <w:t>-0.075</w:t>
            </w:r>
          </w:p>
        </w:tc>
        <w:tc>
          <w:tcPr>
            <w:tcW w:type="dxa" w:w="1071"/>
            <w:vAlign w:val="center"/>
          </w:tcPr>
          <w:p>
            <w:pPr>
              <w:spacing w:after="80" w:before="60"/>
            </w:pPr>
            <w:r>
              <w:rPr>
                <w:sz w:val="19"/>
              </w:rPr>
              <w:t>0.203</w:t>
            </w:r>
          </w:p>
        </w:tc>
        <w:tc>
          <w:tcPr>
            <w:tcW w:type="dxa" w:w="1071"/>
            <w:vAlign w:val="center"/>
          </w:tcPr>
          <w:p>
            <w:pPr>
              <w:spacing w:after="80" w:before="60"/>
            </w:pPr>
            <w:r>
              <w:rPr>
                <w:sz w:val="19"/>
              </w:rPr>
              <w:t>0.482</w:t>
            </w:r>
          </w:p>
        </w:tc>
        <w:tc>
          <w:tcPr>
            <w:tcW w:type="dxa" w:w="1071"/>
            <w:vAlign w:val="center"/>
          </w:tcPr>
          <w:p>
            <w:pPr>
              <w:spacing w:after="80" w:before="60"/>
            </w:pPr>
            <w:r>
              <w:rPr>
                <w:sz w:val="19"/>
              </w:rPr>
              <w:t>0.741</w:t>
            </w:r>
          </w:p>
        </w:tc>
      </w:tr>
      <w:tr>
        <w:trPr>
          <w:cantSplit/>
        </w:trPr>
        <w:tc>
          <w:tcPr>
            <w:tcW w:type="dxa" w:w="1071"/>
            <w:vAlign w:val="center"/>
          </w:tcPr>
          <w:p>
            <w:pPr>
              <w:spacing w:after="80" w:before="60"/>
            </w:pPr>
            <w:r>
              <w:rPr>
                <w:sz w:val="19"/>
              </w:rPr>
              <w:t>TFT</w:t>
            </w:r>
          </w:p>
        </w:tc>
        <w:tc>
          <w:tcPr>
            <w:tcW w:type="dxa" w:w="1071"/>
            <w:vAlign w:val="center"/>
          </w:tcPr>
          <w:p>
            <w:pPr>
              <w:spacing w:after="80" w:before="60"/>
            </w:pPr>
            <w:r>
              <w:rPr>
                <w:sz w:val="19"/>
              </w:rPr>
              <w:t>21.321</w:t>
            </w:r>
          </w:p>
        </w:tc>
        <w:tc>
          <w:tcPr>
            <w:tcW w:type="dxa" w:w="1071"/>
            <w:vAlign w:val="center"/>
          </w:tcPr>
          <w:p>
            <w:pPr>
              <w:spacing w:after="80" w:before="60"/>
            </w:pPr>
            <w:r>
              <w:rPr>
                <w:sz w:val="19"/>
              </w:rPr>
              <w:t>8.104</w:t>
            </w:r>
          </w:p>
        </w:tc>
        <w:tc>
          <w:tcPr>
            <w:tcW w:type="dxa" w:w="1071"/>
            <w:vAlign w:val="center"/>
          </w:tcPr>
          <w:p>
            <w:pPr>
              <w:spacing w:after="80" w:before="60"/>
            </w:pPr>
            <w:r>
              <w:rPr>
                <w:sz w:val="19"/>
              </w:rPr>
              <w:t>-1.565</w:t>
            </w:r>
          </w:p>
        </w:tc>
        <w:tc>
          <w:tcPr>
            <w:tcW w:type="dxa" w:w="1071"/>
            <w:vAlign w:val="center"/>
          </w:tcPr>
          <w:p>
            <w:pPr>
              <w:spacing w:after="80" w:before="60"/>
            </w:pPr>
            <w:r>
              <w:rPr>
                <w:sz w:val="19"/>
              </w:rPr>
              <w:t>0.086</w:t>
            </w:r>
          </w:p>
        </w:tc>
        <w:tc>
          <w:tcPr>
            <w:tcW w:type="dxa" w:w="1071"/>
            <w:vAlign w:val="center"/>
          </w:tcPr>
          <w:p>
            <w:pPr>
              <w:spacing w:after="80" w:before="60"/>
            </w:pPr>
            <w:r>
              <w:rPr>
                <w:sz w:val="19"/>
              </w:rPr>
              <w:t>-0.038</w:t>
            </w:r>
          </w:p>
        </w:tc>
        <w:tc>
          <w:tcPr>
            <w:tcW w:type="dxa" w:w="1071"/>
            <w:vAlign w:val="center"/>
          </w:tcPr>
          <w:p>
            <w:pPr>
              <w:spacing w:after="80" w:before="60"/>
            </w:pPr>
            <w:r>
              <w:rPr>
                <w:sz w:val="19"/>
              </w:rPr>
              <w:t>0.201</w:t>
            </w:r>
          </w:p>
        </w:tc>
        <w:tc>
          <w:tcPr>
            <w:tcW w:type="dxa" w:w="1071"/>
            <w:vAlign w:val="center"/>
          </w:tcPr>
          <w:p>
            <w:pPr>
              <w:spacing w:after="80" w:before="60"/>
            </w:pPr>
            <w:r>
              <w:rPr>
                <w:sz w:val="19"/>
              </w:rPr>
              <w:t>0.412</w:t>
            </w:r>
          </w:p>
        </w:tc>
        <w:tc>
          <w:tcPr>
            <w:tcW w:type="dxa" w:w="1071"/>
            <w:vAlign w:val="center"/>
          </w:tcPr>
          <w:p>
            <w:pPr>
              <w:spacing w:after="80" w:before="60"/>
            </w:pPr>
            <w:r>
              <w:rPr>
                <w:sz w:val="19"/>
              </w:rPr>
              <w:t>0.719</w:t>
            </w:r>
          </w:p>
        </w:tc>
      </w:tr>
      <w:tr>
        <w:trPr>
          <w:cantSplit/>
        </w:trPr>
        <w:tc>
          <w:tcPr>
            <w:tcW w:type="dxa" w:w="1071"/>
            <w:vAlign w:val="center"/>
          </w:tcPr>
          <w:p>
            <w:pPr>
              <w:spacing w:after="80" w:before="60"/>
            </w:pPr>
            <w:r>
              <w:rPr>
                <w:sz w:val="19"/>
              </w:rPr>
              <w:t>Informer</w:t>
            </w:r>
          </w:p>
        </w:tc>
        <w:tc>
          <w:tcPr>
            <w:tcW w:type="dxa" w:w="1071"/>
            <w:vAlign w:val="center"/>
          </w:tcPr>
          <w:p>
            <w:pPr>
              <w:spacing w:after="80" w:before="60"/>
            </w:pPr>
            <w:r>
              <w:rPr>
                <w:sz w:val="19"/>
              </w:rPr>
              <w:t>21.347</w:t>
            </w:r>
          </w:p>
        </w:tc>
        <w:tc>
          <w:tcPr>
            <w:tcW w:type="dxa" w:w="1071"/>
            <w:vAlign w:val="center"/>
          </w:tcPr>
          <w:p>
            <w:pPr>
              <w:spacing w:after="80" w:before="60"/>
            </w:pPr>
            <w:r>
              <w:rPr>
                <w:sz w:val="19"/>
              </w:rPr>
              <w:t>8.051</w:t>
            </w:r>
          </w:p>
        </w:tc>
        <w:tc>
          <w:tcPr>
            <w:tcW w:type="dxa" w:w="1071"/>
            <w:vAlign w:val="center"/>
          </w:tcPr>
          <w:p>
            <w:pPr>
              <w:spacing w:after="80" w:before="60"/>
            </w:pPr>
            <w:r>
              <w:rPr>
                <w:sz w:val="19"/>
              </w:rPr>
              <w:t>-1.797</w:t>
            </w:r>
          </w:p>
        </w:tc>
        <w:tc>
          <w:tcPr>
            <w:tcW w:type="dxa" w:w="1071"/>
            <w:vAlign w:val="center"/>
          </w:tcPr>
          <w:p>
            <w:pPr>
              <w:spacing w:after="80" w:before="60"/>
            </w:pPr>
            <w:r>
              <w:rPr>
                <w:sz w:val="19"/>
              </w:rPr>
              <w:t>0.084</w:t>
            </w:r>
          </w:p>
        </w:tc>
        <w:tc>
          <w:tcPr>
            <w:tcW w:type="dxa" w:w="1071"/>
            <w:vAlign w:val="center"/>
          </w:tcPr>
          <w:p>
            <w:pPr>
              <w:spacing w:after="80" w:before="60"/>
            </w:pPr>
            <w:r>
              <w:rPr>
                <w:sz w:val="19"/>
              </w:rPr>
              <w:t>-0.019</w:t>
            </w:r>
          </w:p>
        </w:tc>
        <w:tc>
          <w:tcPr>
            <w:tcW w:type="dxa" w:w="1071"/>
            <w:vAlign w:val="center"/>
          </w:tcPr>
          <w:p>
            <w:pPr>
              <w:spacing w:after="80" w:before="60"/>
            </w:pPr>
            <w:r>
              <w:rPr>
                <w:sz w:val="19"/>
              </w:rPr>
              <w:t>0.216</w:t>
            </w:r>
          </w:p>
        </w:tc>
        <w:tc>
          <w:tcPr>
            <w:tcW w:type="dxa" w:w="1071"/>
            <w:vAlign w:val="center"/>
          </w:tcPr>
          <w:p>
            <w:pPr>
              <w:spacing w:after="80" w:before="60"/>
            </w:pPr>
            <w:r>
              <w:rPr>
                <w:sz w:val="19"/>
              </w:rPr>
              <w:t>0.456</w:t>
            </w:r>
          </w:p>
        </w:tc>
        <w:tc>
          <w:tcPr>
            <w:tcW w:type="dxa" w:w="1071"/>
            <w:vAlign w:val="center"/>
          </w:tcPr>
          <w:p>
            <w:pPr>
              <w:spacing w:after="80" w:before="60"/>
            </w:pPr>
            <w:r>
              <w:rPr>
                <w:sz w:val="19"/>
              </w:rPr>
              <w:t>0.709</w:t>
            </w:r>
          </w:p>
        </w:tc>
      </w:tr>
    </w:tbl>
    <w:p>
      <w:pPr>
        <w:spacing w:after="20"/>
      </w:pPr>
    </w:p>
    <w:p>
      <w:r>
        <w:t>Cả ba BSS đều âm: chưa vượt khí hậu về xác suất.</w:t>
      </w:r>
    </w:p>
    <w:p>
      <w:r>
        <w:t>Một chỉ số tốt hơn không đủ để kết luận dự báo ngày 3 đã tốt.</w:t>
      </w:r>
    </w:p>
    <w:p>
      <w:pPr>
        <w:pStyle w:val="Heading1"/>
      </w:pPr>
      <w:r>
        <w:t>Kết luận và phần còn thiếu</w:t>
      </w:r>
    </w:p>
    <w:p>
      <w:r>
        <w:t>LightGBM E7 ngày 1–2 có nhiều điểm tốt hơn TFT/Informer; không được bỏ đối chứng này khỏi kết luận. Informer ngày 1 có CSI cao nhất, TFT có POD cao nhất; ưu thế POD phải đọc cùng FAR. Ngày 3 cả ba BSS âm, chưa vượt khí hậu tham chiếu. Chữ đậm chỉ là điểm tốt nhất trong phép so đủ ba, chưa chứng minh chênh lệch có ý nghĩa thống kê.</w:t>
      </w:r>
    </w:p>
    <w:p>
      <w:r>
        <w:t>Chưa có kết quả riêng nhóm A/M/C của Informer vì thiếu E1–E6; không lấy kết quả TFT để khẳng định các nhóm có ích với mọi kiến trúc. Chưa tuning hoặc kiểm định chênh lệch ba pipeline, chưa chốt ranh/QC nhãn và chưa mở holdout 2025. Ma trận CSV có 72 vị trí dự kiến, 54 có kết quả và 18 vị trí Informer chưa chạy; số vị trí bảng không phải số lượt huấn luyện.</w:t>
      </w:r>
    </w:p>
    <w:p>
      <w:pPr>
        <w:pStyle w:val="Heading1"/>
      </w:pPr>
      <w:r>
        <w:t>Giải thích dữ liệu, nhóm biến, seed và metrics</w:t>
      </w:r>
    </w:p>
    <w:p>
      <w:r>
        <w:t>Phần dưới giữ giải thích đầy đủ từ báo cáo trước. Các bảng so sánh ba mô hình ở đầu tài liệu này và slide mới là bản cập nhật; các ví dụ một mô hình minh họa công thức không phải xếp hạng mô hình.</w:t>
      </w:r>
    </w:p>
    <w:p>
      <w:pPr>
        <w:pStyle w:val="Title"/>
      </w:pPr>
      <w:r>
        <w:t>Giải thích lại theo các câu hỏi của nhóm</w:t>
      </w:r>
    </w:p>
    <w:p>
      <w:pPr>
        <w:pStyle w:val="Heading1"/>
      </w:pPr>
      <w:r>
        <w:t>1. Bốn nhóm biến gồm những gì?</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Nhóm</w:t>
            </w:r>
          </w:p>
        </w:tc>
        <w:tc>
          <w:tcPr>
            <w:tcW w:type="dxa" w:w="3213"/>
            <w:vAlign w:val="center"/>
          </w:tcPr>
          <w:p>
            <w:pPr>
              <w:spacing w:after="80" w:before="60"/>
            </w:pPr>
            <w:r>
              <w:rPr>
                <w:b/>
                <w:sz w:val="19"/>
              </w:rPr>
              <w:t>Số biến</w:t>
            </w:r>
          </w:p>
        </w:tc>
        <w:tc>
          <w:tcPr>
            <w:tcW w:type="dxa" w:w="3213"/>
            <w:vAlign w:val="center"/>
          </w:tcPr>
          <w:p>
            <w:pPr>
              <w:spacing w:after="80" w:before="60"/>
            </w:pPr>
            <w:r>
              <w:rPr>
                <w:b/>
                <w:sz w:val="19"/>
              </w:rPr>
              <w:t>Thông tin</w:t>
            </w:r>
          </w:p>
        </w:tc>
      </w:tr>
      <w:tr>
        <w:trPr>
          <w:cantSplit/>
        </w:trPr>
        <w:tc>
          <w:tcPr>
            <w:tcW w:type="dxa" w:w="3213"/>
            <w:vAlign w:val="center"/>
          </w:tcPr>
          <w:p>
            <w:pPr>
              <w:spacing w:after="80" w:before="60"/>
            </w:pPr>
            <w:r>
              <w:rPr>
                <w:sz w:val="19"/>
              </w:rPr>
              <w:t>B — Nền</w:t>
            </w:r>
          </w:p>
        </w:tc>
        <w:tc>
          <w:tcPr>
            <w:tcW w:type="dxa" w:w="3213"/>
            <w:vAlign w:val="center"/>
          </w:tcPr>
          <w:p>
            <w:pPr>
              <w:spacing w:after="80" w:before="60"/>
            </w:pPr>
            <w:r>
              <w:rPr>
                <w:sz w:val="19"/>
              </w:rPr>
              <w:t>11</w:t>
            </w:r>
          </w:p>
        </w:tc>
        <w:tc>
          <w:tcPr>
            <w:tcW w:type="dxa" w:w="3213"/>
            <w:vAlign w:val="center"/>
          </w:tcPr>
          <w:p>
            <w:pPr>
              <w:spacing w:after="80" w:before="60"/>
            </w:pPr>
            <w:r>
              <w:rPr>
                <w:sz w:val="19"/>
              </w:rPr>
              <w:t>Nhiệt độ, điểm sương, độ ẩm gần mặt đất; áp suất bề mặt và mực biển; hai thành phần gió 10 m; bốn biến mã hóa giờ và ngày trong năm</w:t>
            </w:r>
          </w:p>
        </w:tc>
      </w:tr>
      <w:tr>
        <w:trPr>
          <w:cantSplit/>
        </w:trPr>
        <w:tc>
          <w:tcPr>
            <w:tcW w:type="dxa" w:w="3213"/>
            <w:vAlign w:val="center"/>
          </w:tcPr>
          <w:p>
            <w:pPr>
              <w:spacing w:after="80" w:before="60"/>
            </w:pPr>
            <w:r>
              <w:rPr>
                <w:sz w:val="19"/>
              </w:rPr>
              <w:t>A — Đối lưu, mây, lớp biên, đất</w:t>
            </w:r>
          </w:p>
        </w:tc>
        <w:tc>
          <w:tcPr>
            <w:tcW w:type="dxa" w:w="3213"/>
            <w:vAlign w:val="center"/>
          </w:tcPr>
          <w:p>
            <w:pPr>
              <w:spacing w:after="80" w:before="60"/>
            </w:pPr>
            <w:r>
              <w:rPr>
                <w:sz w:val="19"/>
              </w:rPr>
              <w:t>12</w:t>
            </w:r>
          </w:p>
        </w:tc>
        <w:tc>
          <w:tcPr>
            <w:tcW w:type="dxa" w:w="3213"/>
            <w:vAlign w:val="center"/>
          </w:tcPr>
          <w:p>
            <w:pPr>
              <w:spacing w:after="80" w:before="60"/>
            </w:pPr>
            <w:r>
              <w:rPr>
                <w:sz w:val="19"/>
              </w:rPr>
              <w:t>CAPE, CIN, has_lfc, hơi nước cột TCWV, K-index, Total Totals, độ cao lớp biên, bốn loại độ che phủ mây và độ ẩm đất lớp 1</w:t>
            </w:r>
          </w:p>
        </w:tc>
      </w:tr>
      <w:tr>
        <w:trPr>
          <w:cantSplit/>
        </w:trPr>
        <w:tc>
          <w:tcPr>
            <w:tcW w:type="dxa" w:w="3213"/>
            <w:vAlign w:val="center"/>
          </w:tcPr>
          <w:p>
            <w:pPr>
              <w:spacing w:after="80" w:before="60"/>
            </w:pPr>
            <w:r>
              <w:rPr>
                <w:sz w:val="19"/>
              </w:rPr>
              <w:t>M — Hoàn lưu và vận chuyển ẩm</w:t>
            </w:r>
          </w:p>
        </w:tc>
        <w:tc>
          <w:tcPr>
            <w:tcW w:type="dxa" w:w="3213"/>
            <w:vAlign w:val="center"/>
          </w:tcPr>
          <w:p>
            <w:pPr>
              <w:spacing w:after="80" w:before="60"/>
            </w:pPr>
            <w:r>
              <w:rPr>
                <w:sz w:val="19"/>
              </w:rPr>
              <w:t>20</w:t>
            </w:r>
          </w:p>
        </w:tc>
        <w:tc>
          <w:tcPr>
            <w:tcW w:type="dxa" w:w="3213"/>
            <w:vAlign w:val="center"/>
          </w:tcPr>
          <w:p>
            <w:pPr>
              <w:spacing w:after="80" w:before="60"/>
            </w:pPr>
            <w:r>
              <w:rPr>
                <w:sz w:val="19"/>
              </w:rPr>
              <w:t>Gió, độ ẩm, nhiệt độ, chuyển động thẳng đứng ở 850/500 hPa; đứt gió; dòng vận chuyển ẩm IVT; phân kỳ dòng ẩm; bối cảnh hơi nước/dòng ẩm; hai biến chênh áp</w:t>
            </w:r>
          </w:p>
        </w:tc>
      </w:tr>
      <w:tr>
        <w:trPr>
          <w:cantSplit/>
        </w:trPr>
        <w:tc>
          <w:tcPr>
            <w:tcW w:type="dxa" w:w="3213"/>
            <w:vAlign w:val="center"/>
          </w:tcPr>
          <w:p>
            <w:pPr>
              <w:spacing w:after="80" w:before="60"/>
            </w:pPr>
            <w:r>
              <w:rPr>
                <w:sz w:val="19"/>
              </w:rPr>
              <w:t>C — Nhiệt độ biển</w:t>
            </w:r>
          </w:p>
        </w:tc>
        <w:tc>
          <w:tcPr>
            <w:tcW w:type="dxa" w:w="3213"/>
            <w:vAlign w:val="center"/>
          </w:tcPr>
          <w:p>
            <w:pPr>
              <w:spacing w:after="80" w:before="60"/>
            </w:pPr>
            <w:r>
              <w:rPr>
                <w:sz w:val="19"/>
              </w:rPr>
              <w:t>1</w:t>
            </w:r>
          </w:p>
        </w:tc>
        <w:tc>
          <w:tcPr>
            <w:tcW w:type="dxa" w:w="3213"/>
            <w:vAlign w:val="center"/>
          </w:tcPr>
          <w:p>
            <w:pPr>
              <w:spacing w:after="80" w:before="60"/>
            </w:pPr>
            <w:r>
              <w:rPr>
                <w:sz w:val="19"/>
              </w:rPr>
              <w:t>SST trung bình tại hộp biển đã chọn</w:t>
            </w:r>
          </w:p>
        </w:tc>
      </w:tr>
    </w:tbl>
    <w:p>
      <w:pPr>
        <w:spacing w:after="20"/>
      </w:pPr>
    </w:p>
    <w:p>
      <w:r>
        <w:t>E0 chỉ B; E1 B+A; E2 B+M; E3 B+C; E4 B+A+M; E5 B+A+C; E6 B+M+C; E7 B+A+M+C. E0–E7 là tám bộ đầu vào, không phải tám mô hình. TFT/LightGBM là các cách học từ từng bộ đầu vào. Nhóm C hiện chỉ một biến SST, chưa đại diện đầy đủ ENSO/MJO.</w:t>
      </w:r>
    </w:p>
    <w:p>
      <w:pPr>
        <w:pStyle w:val="Heading1"/>
      </w:pPr>
      <w:r>
        <w:t>2. Bảng metrics đầy đủ</w:t>
      </w:r>
    </w:p>
    <w:tbl>
      <w:tblPr>
        <w:tblStyle w:val="LightShading-Accent1"/>
        <w:tblW w:type="auto" w:w="0"/>
        <w:jc w:val="center"/>
        <w:tblLayout w:type="fixed"/>
        <w:tblLook w:firstColumn="1" w:firstRow="1" w:lastColumn="0" w:lastRow="0" w:noHBand="0" w:noVBand="1" w:val="04A0"/>
      </w:tblPr>
      <w:tblGrid>
        <w:gridCol w:w="3515"/>
        <w:gridCol w:w="2041"/>
        <w:gridCol w:w="2041"/>
        <w:gridCol w:w="2041"/>
      </w:tblGrid>
      <w:tr>
        <w:trPr>
          <w:cantSplit/>
          <w:tblHeader/>
        </w:trPr>
        <w:tc>
          <w:tcPr>
            <w:tcW w:type="dxa" w:w="3515"/>
            <w:vAlign w:val="center"/>
          </w:tcPr>
          <w:p>
            <w:pPr>
              <w:spacing w:after="80" w:before="60"/>
            </w:pPr>
            <w:r>
              <w:rPr>
                <w:b/>
                <w:sz w:val="19"/>
              </w:rPr>
              <w:t>Chỉ số</w:t>
            </w:r>
          </w:p>
        </w:tc>
        <w:tc>
          <w:tcPr>
            <w:tcW w:type="dxa" w:w="2041"/>
            <w:vAlign w:val="center"/>
          </w:tcPr>
          <w:p>
            <w:pPr>
              <w:spacing w:after="80" w:before="60"/>
            </w:pPr>
            <w:r>
              <w:rPr>
                <w:b/>
                <w:sz w:val="19"/>
              </w:rPr>
              <w:t>Ý nghĩa dễ hiểu</w:t>
            </w:r>
          </w:p>
        </w:tc>
        <w:tc>
          <w:tcPr>
            <w:tcW w:type="dxa" w:w="2041"/>
            <w:vAlign w:val="center"/>
          </w:tcPr>
          <w:p>
            <w:pPr>
              <w:spacing w:after="80" w:before="60"/>
            </w:pPr>
            <w:r>
              <w:rPr>
                <w:b/>
                <w:sz w:val="19"/>
              </w:rPr>
              <w:t>Vì sao dùng?</w:t>
            </w:r>
          </w:p>
        </w:tc>
        <w:tc>
          <w:tcPr>
            <w:tcW w:type="dxa" w:w="2041"/>
            <w:vAlign w:val="center"/>
          </w:tcPr>
          <w:p>
            <w:pPr>
              <w:spacing w:after="80" w:before="60"/>
            </w:pPr>
            <w:r>
              <w:rPr>
                <w:b/>
                <w:sz w:val="19"/>
              </w:rPr>
              <w:t>Chiều tốt</w:t>
            </w:r>
          </w:p>
        </w:tc>
      </w:tr>
      <w:tr>
        <w:trPr>
          <w:cantSplit/>
        </w:trPr>
        <w:tc>
          <w:tcPr>
            <w:tcW w:type="dxa" w:w="3515"/>
            <w:vAlign w:val="center"/>
          </w:tcPr>
          <w:p>
            <w:pPr>
              <w:spacing w:after="80" w:before="60"/>
            </w:pPr>
            <w:r>
              <w:rPr>
                <w:sz w:val="19"/>
              </w:rPr>
              <w:t>RMSE</w:t>
            </w:r>
          </w:p>
        </w:tc>
        <w:tc>
          <w:tcPr>
            <w:tcW w:type="dxa" w:w="2041"/>
            <w:vAlign w:val="center"/>
          </w:tcPr>
          <w:p>
            <w:pPr>
              <w:spacing w:after="80" w:before="60"/>
            </w:pPr>
            <w:r>
              <w:rPr>
                <w:sz w:val="19"/>
              </w:rPr>
              <w:t>Sai số lượng mưa, phạt mạnh lỗi lớn</w:t>
            </w:r>
          </w:p>
        </w:tc>
        <w:tc>
          <w:tcPr>
            <w:tcW w:type="dxa" w:w="2041"/>
            <w:vAlign w:val="center"/>
          </w:tcPr>
          <w:p>
            <w:pPr>
              <w:spacing w:after="80" w:before="60"/>
            </w:pPr>
            <w:r>
              <w:rPr>
                <w:sz w:val="19"/>
              </w:rPr>
              <w:t>Không để những ngày dự đoán sai nặng bị che khuất</w:t>
            </w:r>
          </w:p>
        </w:tc>
        <w:tc>
          <w:tcPr>
            <w:tcW w:type="dxa" w:w="2041"/>
            <w:vAlign w:val="center"/>
          </w:tcPr>
          <w:p>
            <w:pPr>
              <w:spacing w:after="80" w:before="60"/>
            </w:pPr>
            <w:r>
              <w:rPr>
                <w:sz w:val="19"/>
              </w:rPr>
              <w:t>Nhỏ hơn</w:t>
            </w:r>
          </w:p>
        </w:tc>
      </w:tr>
      <w:tr>
        <w:trPr>
          <w:cantSplit/>
        </w:trPr>
        <w:tc>
          <w:tcPr>
            <w:tcW w:type="dxa" w:w="3515"/>
            <w:vAlign w:val="center"/>
          </w:tcPr>
          <w:p>
            <w:pPr>
              <w:spacing w:after="80" w:before="60"/>
            </w:pPr>
            <w:r>
              <w:rPr>
                <w:sz w:val="19"/>
              </w:rPr>
              <w:t>MAE</w:t>
            </w:r>
          </w:p>
        </w:tc>
        <w:tc>
          <w:tcPr>
            <w:tcW w:type="dxa" w:w="2041"/>
            <w:vAlign w:val="center"/>
          </w:tcPr>
          <w:p>
            <w:pPr>
              <w:spacing w:after="80" w:before="60"/>
            </w:pPr>
            <w:r>
              <w:rPr>
                <w:sz w:val="19"/>
              </w:rPr>
              <w:t>Trung bình sai lệch tuyệt đối bao nhiêu mm</w:t>
            </w:r>
          </w:p>
        </w:tc>
        <w:tc>
          <w:tcPr>
            <w:tcW w:type="dxa" w:w="2041"/>
            <w:vAlign w:val="center"/>
          </w:tcPr>
          <w:p>
            <w:pPr>
              <w:spacing w:after="80" w:before="60"/>
            </w:pPr>
            <w:r>
              <w:rPr>
                <w:sz w:val="19"/>
              </w:rPr>
              <w:t>Dễ đọc mức sai số lượng mưa</w:t>
            </w:r>
          </w:p>
        </w:tc>
        <w:tc>
          <w:tcPr>
            <w:tcW w:type="dxa" w:w="2041"/>
            <w:vAlign w:val="center"/>
          </w:tcPr>
          <w:p>
            <w:pPr>
              <w:spacing w:after="80" w:before="60"/>
            </w:pPr>
            <w:r>
              <w:rPr>
                <w:sz w:val="19"/>
              </w:rPr>
              <w:t>Nhỏ hơn</w:t>
            </w:r>
          </w:p>
        </w:tc>
      </w:tr>
      <w:tr>
        <w:trPr>
          <w:cantSplit/>
        </w:trPr>
        <w:tc>
          <w:tcPr>
            <w:tcW w:type="dxa" w:w="3515"/>
            <w:vAlign w:val="center"/>
          </w:tcPr>
          <w:p>
            <w:pPr>
              <w:spacing w:after="80" w:before="60"/>
            </w:pPr>
            <w:r>
              <w:rPr>
                <w:sz w:val="19"/>
              </w:rPr>
              <w:t>Bias</w:t>
            </w:r>
          </w:p>
        </w:tc>
        <w:tc>
          <w:tcPr>
            <w:tcW w:type="dxa" w:w="2041"/>
            <w:vAlign w:val="center"/>
          </w:tcPr>
          <w:p>
            <w:pPr>
              <w:spacing w:after="80" w:before="60"/>
            </w:pPr>
            <w:r>
              <w:rPr>
                <w:sz w:val="19"/>
              </w:rPr>
              <w:t>Trung bình dự báo thừa hay thiếu</w:t>
            </w:r>
          </w:p>
        </w:tc>
        <w:tc>
          <w:tcPr>
            <w:tcW w:type="dxa" w:w="2041"/>
            <w:vAlign w:val="center"/>
          </w:tcPr>
          <w:p>
            <w:pPr>
              <w:spacing w:after="80" w:before="60"/>
            </w:pPr>
            <w:r>
              <w:rPr>
                <w:sz w:val="19"/>
              </w:rPr>
              <w:t>Phát hiện xu hướng dự báo thiếu hoặc thừa mưa</w:t>
            </w:r>
          </w:p>
        </w:tc>
        <w:tc>
          <w:tcPr>
            <w:tcW w:type="dxa" w:w="2041"/>
            <w:vAlign w:val="center"/>
          </w:tcPr>
          <w:p>
            <w:pPr>
              <w:spacing w:after="80" w:before="60"/>
            </w:pPr>
            <w:r>
              <w:rPr>
                <w:sz w:val="19"/>
              </w:rPr>
              <w:t>Gần 0</w:t>
            </w:r>
          </w:p>
        </w:tc>
      </w:tr>
      <w:tr>
        <w:trPr>
          <w:cantSplit/>
        </w:trPr>
        <w:tc>
          <w:tcPr>
            <w:tcW w:type="dxa" w:w="3515"/>
            <w:vAlign w:val="center"/>
          </w:tcPr>
          <w:p>
            <w:pPr>
              <w:spacing w:after="80" w:before="60"/>
            </w:pPr>
            <w:r>
              <w:rPr>
                <w:sz w:val="19"/>
              </w:rPr>
              <w:t>BS</w:t>
            </w:r>
          </w:p>
        </w:tc>
        <w:tc>
          <w:tcPr>
            <w:tcW w:type="dxa" w:w="2041"/>
            <w:vAlign w:val="center"/>
          </w:tcPr>
          <w:p>
            <w:pPr>
              <w:spacing w:after="80" w:before="60"/>
            </w:pPr>
            <w:r>
              <w:rPr>
                <w:sz w:val="19"/>
              </w:rPr>
              <w:t>Sai số của xác suất dự báo</w:t>
            </w:r>
          </w:p>
        </w:tc>
        <w:tc>
          <w:tcPr>
            <w:tcW w:type="dxa" w:w="2041"/>
            <w:vAlign w:val="center"/>
          </w:tcPr>
          <w:p>
            <w:pPr>
              <w:spacing w:after="80" w:before="60"/>
            </w:pPr>
            <w:r>
              <w:rPr>
                <w:sz w:val="19"/>
              </w:rPr>
              <w:t>Chấm toàn bộ xác suất, chưa cần chọn ngưỡng báo có/không</w:t>
            </w:r>
          </w:p>
        </w:tc>
        <w:tc>
          <w:tcPr>
            <w:tcW w:type="dxa" w:w="2041"/>
            <w:vAlign w:val="center"/>
          </w:tcPr>
          <w:p>
            <w:pPr>
              <w:spacing w:after="80" w:before="60"/>
            </w:pPr>
            <w:r>
              <w:rPr>
                <w:sz w:val="19"/>
              </w:rPr>
              <w:t>Nhỏ hơn</w:t>
            </w:r>
          </w:p>
        </w:tc>
      </w:tr>
      <w:tr>
        <w:trPr>
          <w:cantSplit/>
        </w:trPr>
        <w:tc>
          <w:tcPr>
            <w:tcW w:type="dxa" w:w="3515"/>
            <w:vAlign w:val="center"/>
          </w:tcPr>
          <w:p>
            <w:pPr>
              <w:spacing w:after="80" w:before="60"/>
            </w:pPr>
            <w:r>
              <w:rPr>
                <w:sz w:val="19"/>
              </w:rPr>
              <w:t>BSS</w:t>
            </w:r>
          </w:p>
        </w:tc>
        <w:tc>
          <w:tcPr>
            <w:tcW w:type="dxa" w:w="2041"/>
            <w:vAlign w:val="center"/>
          </w:tcPr>
          <w:p>
            <w:pPr>
              <w:spacing w:after="80" w:before="60"/>
            </w:pPr>
            <w:r>
              <w:rPr>
                <w:sz w:val="19"/>
              </w:rPr>
              <w:t>BS cải thiện bao nhiêu so với khí hậu tham chiếu</w:t>
            </w:r>
          </w:p>
        </w:tc>
        <w:tc>
          <w:tcPr>
            <w:tcW w:type="dxa" w:w="2041"/>
            <w:vAlign w:val="center"/>
          </w:tcPr>
          <w:p>
            <w:pPr>
              <w:spacing w:after="80" w:before="60"/>
            </w:pPr>
            <w:r>
              <w:rPr>
                <w:sz w:val="19"/>
              </w:rPr>
              <w:t>Kiểm tra có hơn cách dự báo theo mùa đơn giản không</w:t>
            </w:r>
          </w:p>
        </w:tc>
        <w:tc>
          <w:tcPr>
            <w:tcW w:type="dxa" w:w="2041"/>
            <w:vAlign w:val="center"/>
          </w:tcPr>
          <w:p>
            <w:pPr>
              <w:spacing w:after="80" w:before="60"/>
            </w:pPr>
            <w:r>
              <w:rPr>
                <w:sz w:val="19"/>
              </w:rPr>
              <w:t>Lớn hơn</w:t>
            </w:r>
          </w:p>
        </w:tc>
      </w:tr>
      <w:tr>
        <w:trPr>
          <w:cantSplit/>
        </w:trPr>
        <w:tc>
          <w:tcPr>
            <w:tcW w:type="dxa" w:w="3515"/>
            <w:vAlign w:val="center"/>
          </w:tcPr>
          <w:p>
            <w:pPr>
              <w:spacing w:after="80" w:before="60"/>
            </w:pPr>
            <w:r>
              <w:rPr>
                <w:sz w:val="19"/>
              </w:rPr>
              <w:t>CSI</w:t>
            </w:r>
          </w:p>
        </w:tc>
        <w:tc>
          <w:tcPr>
            <w:tcW w:type="dxa" w:w="2041"/>
            <w:vAlign w:val="center"/>
          </w:tcPr>
          <w:p>
            <w:pPr>
              <w:spacing w:after="80" w:before="60"/>
            </w:pPr>
            <w:r>
              <w:rPr>
                <w:sz w:val="19"/>
              </w:rPr>
              <w:t>H / (H + M + F)</w:t>
            </w:r>
          </w:p>
        </w:tc>
        <w:tc>
          <w:tcPr>
            <w:tcW w:type="dxa" w:w="2041"/>
            <w:vAlign w:val="center"/>
          </w:tcPr>
          <w:p>
            <w:pPr>
              <w:spacing w:after="80" w:before="60"/>
            </w:pPr>
            <w:r>
              <w:rPr>
                <w:sz w:val="19"/>
              </w:rPr>
              <w:t>Cân nhắc đồng thời báo trúng, bỏ sót và báo nhầm</w:t>
            </w:r>
          </w:p>
        </w:tc>
        <w:tc>
          <w:tcPr>
            <w:tcW w:type="dxa" w:w="2041"/>
            <w:vAlign w:val="center"/>
          </w:tcPr>
          <w:p>
            <w:pPr>
              <w:spacing w:after="80" w:before="60"/>
            </w:pPr>
            <w:r>
              <w:rPr>
                <w:sz w:val="19"/>
              </w:rPr>
              <w:t>Lớn hơn</w:t>
            </w:r>
          </w:p>
        </w:tc>
      </w:tr>
      <w:tr>
        <w:trPr>
          <w:cantSplit/>
        </w:trPr>
        <w:tc>
          <w:tcPr>
            <w:tcW w:type="dxa" w:w="3515"/>
            <w:vAlign w:val="center"/>
          </w:tcPr>
          <w:p>
            <w:pPr>
              <w:spacing w:after="80" w:before="60"/>
            </w:pPr>
            <w:r>
              <w:rPr>
                <w:sz w:val="19"/>
              </w:rPr>
              <w:t>POD</w:t>
            </w:r>
          </w:p>
        </w:tc>
        <w:tc>
          <w:tcPr>
            <w:tcW w:type="dxa" w:w="2041"/>
            <w:vAlign w:val="center"/>
          </w:tcPr>
          <w:p>
            <w:pPr>
              <w:spacing w:after="80" w:before="60"/>
            </w:pPr>
            <w:r>
              <w:rPr>
                <w:sz w:val="19"/>
              </w:rPr>
              <w:t>H / (H + M)</w:t>
            </w:r>
          </w:p>
        </w:tc>
        <w:tc>
          <w:tcPr>
            <w:tcW w:type="dxa" w:w="2041"/>
            <w:vAlign w:val="center"/>
          </w:tcPr>
          <w:p>
            <w:pPr>
              <w:spacing w:after="80" w:before="60"/>
            </w:pPr>
            <w:r>
              <w:rPr>
                <w:sz w:val="19"/>
              </w:rPr>
              <w:t>Bắt được bao nhiêu sự kiện thực tế</w:t>
            </w:r>
          </w:p>
        </w:tc>
        <w:tc>
          <w:tcPr>
            <w:tcW w:type="dxa" w:w="2041"/>
            <w:vAlign w:val="center"/>
          </w:tcPr>
          <w:p>
            <w:pPr>
              <w:spacing w:after="80" w:before="60"/>
            </w:pPr>
            <w:r>
              <w:rPr>
                <w:sz w:val="19"/>
              </w:rPr>
              <w:t>Lớn hơn</w:t>
            </w:r>
          </w:p>
        </w:tc>
      </w:tr>
      <w:tr>
        <w:trPr>
          <w:cantSplit/>
        </w:trPr>
        <w:tc>
          <w:tcPr>
            <w:tcW w:type="dxa" w:w="3515"/>
            <w:vAlign w:val="center"/>
          </w:tcPr>
          <w:p>
            <w:pPr>
              <w:spacing w:after="80" w:before="60"/>
            </w:pPr>
            <w:r>
              <w:rPr>
                <w:sz w:val="19"/>
              </w:rPr>
              <w:t>FAR</w:t>
            </w:r>
          </w:p>
        </w:tc>
        <w:tc>
          <w:tcPr>
            <w:tcW w:type="dxa" w:w="2041"/>
            <w:vAlign w:val="center"/>
          </w:tcPr>
          <w:p>
            <w:pPr>
              <w:spacing w:after="80" w:before="60"/>
            </w:pPr>
            <w:r>
              <w:rPr>
                <w:sz w:val="19"/>
              </w:rPr>
              <w:t>F / (H + F)</w:t>
            </w:r>
          </w:p>
        </w:tc>
        <w:tc>
          <w:tcPr>
            <w:tcW w:type="dxa" w:w="2041"/>
            <w:vAlign w:val="center"/>
          </w:tcPr>
          <w:p>
            <w:pPr>
              <w:spacing w:after="80" w:before="60"/>
            </w:pPr>
            <w:r>
              <w:rPr>
                <w:sz w:val="19"/>
              </w:rPr>
              <w:t>Trong các lần báo có, bao nhiêu lần bị nhầm</w:t>
            </w:r>
          </w:p>
        </w:tc>
        <w:tc>
          <w:tcPr>
            <w:tcW w:type="dxa" w:w="2041"/>
            <w:vAlign w:val="center"/>
          </w:tcPr>
          <w:p>
            <w:pPr>
              <w:spacing w:after="80" w:before="60"/>
            </w:pPr>
            <w:r>
              <w:rPr>
                <w:sz w:val="19"/>
              </w:rPr>
              <w:t>Nhỏ hơn</w:t>
            </w:r>
          </w:p>
        </w:tc>
      </w:tr>
    </w:tbl>
    <w:p>
      <w:pPr>
        <w:spacing w:after="20"/>
      </w:pPr>
    </w:p>
    <w:p>
      <w:r>
        <w:t>H là số báo trúng; M bỏ sót; F báo nhầm. Sai số lượng mm, sai số xác suất và chất lượng quyết định là ba câu hỏi khác nhau. Giữ BSS/CSI theo protocol hiện tại, đồng thời phải đọc đủ POD/FAR và RMSE/MAE/Bias. Nếu muốn chọn mô hình chính theo lượng mm, cần khóa mục tiêu trước holdout, không đổi chỉ vì một bảng đang đẹp hơn.</w:t>
      </w:r>
    </w:p>
    <w:p>
      <w:pPr>
        <w:pStyle w:val="Heading1"/>
      </w:pPr>
      <w:r>
        <w:t>3. 3 seed là gì?</w:t>
      </w:r>
    </w:p>
    <w:p>
      <w:r>
        <w:t>Seed 42/43/44 là ba trạng thái ngẫu nhiên cho ba lần train cùng dữ liệu, nhãn, nhóm biến, cấu hình. Chúng thay đổi khởi tạo, thứ tự đưa mẫu và thao tác ngẫu nhiên. Mục đích là thấy kết quả có phụ thuộc mạnh vào một lần khởi tạo không; chúng không tạo thêm ngày thời tiết.</w:t>
      </w:r>
    </w:p>
    <w:p>
      <w:r>
        <w:t>Ví dụ minh họa: cùng ngày, ba model trả 9, 12, 15 mm; dự đoán trung bình là 12 mm. Kết quả TFT đang báo dùng trung bình lượng mm và xác suất đã hiệu chỉnh của ba seed, sau đó tính metric; không lấy trung bình ba giá trị BSS/CSI để thay metric của dự đoán trung bình. Ngưỡng quyết định cho dự đoán trung bình chọn trên calibration.</w:t>
      </w:r>
    </w:p>
    <w:p>
      <w:r>
        <w:t>Ba ngày là ba đầu ra; ba seed là ba lần train cùng cấu hình; ba lượt chia thời gian đánh giá lần lượt 2021/2022/2023. Một E có 3×3=9 lượt TFT, tám E có 72 lượt; số mốc chấm mỗi lead vẫn 1075. LightGBM cấu hình hiện tại chạy xác định nên không nhân ba bản giống nhau.</w:t>
      </w:r>
    </w:p>
    <w:p>
      <w:pPr>
        <w:pStyle w:val="Heading1"/>
      </w:pPr>
      <w:r>
        <w:t>4. POD 0,4 có phải là tốt?</w:t>
      </w:r>
    </w:p>
    <w:p>
      <w:r>
        <w:t>POD 0,4 nghĩa là bắt40/100 sự kiện. Không tìm thấy một chuẩn chung 0,4 trong hướng dẫn/nguồn đã đối chiếu. POD bỏ qua báo nhầm nên phải đọc cùng FAR/CSI, số sự kiện và baseline. Ví dụ 300 ngày/100 sự kiện: cùng H40/M60, F10 cho FAR 0,2/CSI 0,364; F160 cho FAR 0,8/CSI 0,154. Cùng POD 0,4 nhưng hiệu quả rất khác.</w:t>
      </w:r>
    </w:p>
    <w:p>
      <w:r>
        <w:t>Nguồn P1 tại Việt Nam có POD 0,3–0,4 trong bản đồ ngưỡng 25 mm/24h và có trạm 0,5–0,7; không phát biểu 0,4 là chuẩn. Nguồn P2 đánh giá ước lượng IMERG theo giờ, POD tối đa0,4 đi với FAR tối thiểu0,6 lại được nhận xét phát hiện thấp. Hai ngữ cảnh không tương đương nhau hoặc tương đương dự án; chúng bác bỏ việc diễn giải chỉ từ một mốc số.</w:t>
      </w:r>
    </w:p>
    <w:p>
      <w:r>
        <w:t>POD 0,640trong TFT E7 ngày 1 là 73/114 sự kiện vùng ≥16 mm/24h, theo đầu xác suất với τ calibration. Nó không phải độ chính xác chung 64%. Không suy ra đã hơn paper dùng trạm, ngưỡng25/50/100, forecast số, nhãn trạm hoặc quy tắc trực tiếp từ lượng mm.</w:t>
      </w:r>
    </w:p>
    <w:p>
      <w:pPr>
        <w:pStyle w:val="Heading1"/>
      </w:pPr>
      <w:r>
        <w:t>5. Cùng mô hình, khác quy tắc thì POD thay đổi ra sao?</w:t>
      </w:r>
    </w:p>
    <w:tbl>
      <w:tblPr>
        <w:tblStyle w:val="LightShading-Accent1"/>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blHeader/>
        </w:trPr>
        <w:tc>
          <w:tcPr>
            <w:tcW w:type="dxa" w:w="1377"/>
            <w:vAlign w:val="center"/>
          </w:tcPr>
          <w:p>
            <w:pPr>
              <w:spacing w:after="80" w:before="60"/>
            </w:pPr>
            <w:r>
              <w:rPr>
                <w:b/>
                <w:sz w:val="19"/>
              </w:rPr>
              <w:t>Quy tắc</w:t>
            </w:r>
          </w:p>
        </w:tc>
        <w:tc>
          <w:tcPr>
            <w:tcW w:type="dxa" w:w="1377"/>
            <w:vAlign w:val="center"/>
          </w:tcPr>
          <w:p>
            <w:pPr>
              <w:spacing w:after="80" w:before="60"/>
            </w:pPr>
            <w:r>
              <w:rPr>
                <w:b/>
                <w:sz w:val="19"/>
              </w:rPr>
              <w:t>Trúng</w:t>
            </w:r>
          </w:p>
        </w:tc>
        <w:tc>
          <w:tcPr>
            <w:tcW w:type="dxa" w:w="1377"/>
            <w:vAlign w:val="center"/>
          </w:tcPr>
          <w:p>
            <w:pPr>
              <w:spacing w:after="80" w:before="60"/>
            </w:pPr>
            <w:r>
              <w:rPr>
                <w:b/>
                <w:sz w:val="19"/>
              </w:rPr>
              <w:t>Bỏ sót</w:t>
            </w:r>
          </w:p>
        </w:tc>
        <w:tc>
          <w:tcPr>
            <w:tcW w:type="dxa" w:w="1377"/>
            <w:vAlign w:val="center"/>
          </w:tcPr>
          <w:p>
            <w:pPr>
              <w:spacing w:after="80" w:before="60"/>
            </w:pPr>
            <w:r>
              <w:rPr>
                <w:b/>
                <w:sz w:val="19"/>
              </w:rPr>
              <w:t>Báo nhầm</w:t>
            </w:r>
          </w:p>
        </w:tc>
        <w:tc>
          <w:tcPr>
            <w:tcW w:type="dxa" w:w="1377"/>
            <w:vAlign w:val="center"/>
          </w:tcPr>
          <w:p>
            <w:pPr>
              <w:spacing w:after="80" w:before="60"/>
            </w:pPr>
            <w:r>
              <w:rPr>
                <w:b/>
                <w:sz w:val="19"/>
              </w:rPr>
              <w:t>POD</w:t>
            </w:r>
          </w:p>
        </w:tc>
        <w:tc>
          <w:tcPr>
            <w:tcW w:type="dxa" w:w="1377"/>
            <w:vAlign w:val="center"/>
          </w:tcPr>
          <w:p>
            <w:pPr>
              <w:spacing w:after="80" w:before="60"/>
            </w:pPr>
            <w:r>
              <w:rPr>
                <w:b/>
                <w:sz w:val="19"/>
              </w:rPr>
              <w:t>FAR</w:t>
            </w:r>
          </w:p>
        </w:tc>
        <w:tc>
          <w:tcPr>
            <w:tcW w:type="dxa" w:w="1377"/>
            <w:vAlign w:val="center"/>
          </w:tcPr>
          <w:p>
            <w:pPr>
              <w:spacing w:after="80" w:before="60"/>
            </w:pPr>
            <w:r>
              <w:rPr>
                <w:b/>
                <w:sz w:val="19"/>
              </w:rPr>
              <w:t>CSI</w:t>
            </w:r>
          </w:p>
        </w:tc>
      </w:tr>
      <w:tr>
        <w:trPr>
          <w:cantSplit/>
        </w:trPr>
        <w:tc>
          <w:tcPr>
            <w:tcW w:type="dxa" w:w="1377"/>
            <w:vAlign w:val="center"/>
          </w:tcPr>
          <w:p>
            <w:pPr>
              <w:spacing w:after="80" w:before="60"/>
            </w:pPr>
            <w:r>
              <w:rPr>
                <w:sz w:val="19"/>
              </w:rPr>
              <w:t>amount</w:t>
            </w:r>
          </w:p>
        </w:tc>
        <w:tc>
          <w:tcPr>
            <w:tcW w:type="dxa" w:w="1377"/>
            <w:vAlign w:val="center"/>
          </w:tcPr>
          <w:p>
            <w:pPr>
              <w:spacing w:after="80" w:before="60"/>
            </w:pPr>
            <w:r>
              <w:rPr>
                <w:sz w:val="19"/>
              </w:rPr>
              <w:t>67</w:t>
            </w:r>
          </w:p>
        </w:tc>
        <w:tc>
          <w:tcPr>
            <w:tcW w:type="dxa" w:w="1377"/>
            <w:vAlign w:val="center"/>
          </w:tcPr>
          <w:p>
            <w:pPr>
              <w:spacing w:after="80" w:before="60"/>
            </w:pPr>
            <w:r>
              <w:rPr>
                <w:sz w:val="19"/>
              </w:rPr>
              <w:t>47</w:t>
            </w:r>
          </w:p>
        </w:tc>
        <w:tc>
          <w:tcPr>
            <w:tcW w:type="dxa" w:w="1377"/>
            <w:vAlign w:val="center"/>
          </w:tcPr>
          <w:p>
            <w:pPr>
              <w:spacing w:after="80" w:before="60"/>
            </w:pPr>
            <w:r>
              <w:rPr>
                <w:sz w:val="19"/>
              </w:rPr>
              <w:t>48</w:t>
            </w:r>
          </w:p>
        </w:tc>
        <w:tc>
          <w:tcPr>
            <w:tcW w:type="dxa" w:w="1377"/>
            <w:vAlign w:val="center"/>
          </w:tcPr>
          <w:p>
            <w:pPr>
              <w:spacing w:after="80" w:before="60"/>
            </w:pPr>
            <w:r>
              <w:rPr>
                <w:sz w:val="19"/>
              </w:rPr>
              <w:t>0.588</w:t>
            </w:r>
          </w:p>
        </w:tc>
        <w:tc>
          <w:tcPr>
            <w:tcW w:type="dxa" w:w="1377"/>
            <w:vAlign w:val="center"/>
          </w:tcPr>
          <w:p>
            <w:pPr>
              <w:spacing w:after="80" w:before="60"/>
            </w:pPr>
            <w:r>
              <w:rPr>
                <w:sz w:val="19"/>
              </w:rPr>
              <w:t>0.417</w:t>
            </w:r>
          </w:p>
        </w:tc>
        <w:tc>
          <w:tcPr>
            <w:tcW w:type="dxa" w:w="1377"/>
            <w:vAlign w:val="center"/>
          </w:tcPr>
          <w:p>
            <w:pPr>
              <w:spacing w:after="80" w:before="60"/>
            </w:pPr>
            <w:r>
              <w:rPr>
                <w:sz w:val="19"/>
              </w:rPr>
              <w:t>0.414</w:t>
            </w:r>
          </w:p>
        </w:tc>
      </w:tr>
      <w:tr>
        <w:trPr>
          <w:cantSplit/>
        </w:trPr>
        <w:tc>
          <w:tcPr>
            <w:tcW w:type="dxa" w:w="1377"/>
            <w:vAlign w:val="center"/>
          </w:tcPr>
          <w:p>
            <w:pPr>
              <w:spacing w:after="80" w:before="60"/>
            </w:pPr>
            <w:r>
              <w:rPr>
                <w:sz w:val="19"/>
              </w:rPr>
              <w:t>probability</w:t>
            </w:r>
          </w:p>
        </w:tc>
        <w:tc>
          <w:tcPr>
            <w:tcW w:type="dxa" w:w="1377"/>
            <w:vAlign w:val="center"/>
          </w:tcPr>
          <w:p>
            <w:pPr>
              <w:spacing w:after="80" w:before="60"/>
            </w:pPr>
            <w:r>
              <w:rPr>
                <w:sz w:val="19"/>
              </w:rPr>
              <w:t>73</w:t>
            </w:r>
          </w:p>
        </w:tc>
        <w:tc>
          <w:tcPr>
            <w:tcW w:type="dxa" w:w="1377"/>
            <w:vAlign w:val="center"/>
          </w:tcPr>
          <w:p>
            <w:pPr>
              <w:spacing w:after="80" w:before="60"/>
            </w:pPr>
            <w:r>
              <w:rPr>
                <w:sz w:val="19"/>
              </w:rPr>
              <w:t>41</w:t>
            </w:r>
          </w:p>
        </w:tc>
        <w:tc>
          <w:tcPr>
            <w:tcW w:type="dxa" w:w="1377"/>
            <w:vAlign w:val="center"/>
          </w:tcPr>
          <w:p>
            <w:pPr>
              <w:spacing w:after="80" w:before="60"/>
            </w:pPr>
            <w:r>
              <w:rPr>
                <w:sz w:val="19"/>
              </w:rPr>
              <w:t>66</w:t>
            </w:r>
          </w:p>
        </w:tc>
        <w:tc>
          <w:tcPr>
            <w:tcW w:type="dxa" w:w="1377"/>
            <w:vAlign w:val="center"/>
          </w:tcPr>
          <w:p>
            <w:pPr>
              <w:spacing w:after="80" w:before="60"/>
            </w:pPr>
            <w:r>
              <w:rPr>
                <w:sz w:val="19"/>
              </w:rPr>
              <w:t>0.640</w:t>
            </w:r>
          </w:p>
        </w:tc>
        <w:tc>
          <w:tcPr>
            <w:tcW w:type="dxa" w:w="1377"/>
            <w:vAlign w:val="center"/>
          </w:tcPr>
          <w:p>
            <w:pPr>
              <w:spacing w:after="80" w:before="60"/>
            </w:pPr>
            <w:r>
              <w:rPr>
                <w:sz w:val="19"/>
              </w:rPr>
              <w:t>0.475</w:t>
            </w:r>
          </w:p>
        </w:tc>
        <w:tc>
          <w:tcPr>
            <w:tcW w:type="dxa" w:w="1377"/>
            <w:vAlign w:val="center"/>
          </w:tcPr>
          <w:p>
            <w:pPr>
              <w:spacing w:after="80" w:before="60"/>
            </w:pPr>
            <w:r>
              <w:rPr>
                <w:sz w:val="19"/>
              </w:rPr>
              <w:t>0.406</w:t>
            </w:r>
          </w:p>
        </w:tc>
      </w:tr>
    </w:tbl>
    <w:p>
      <w:pPr>
        <w:spacing w:after="20"/>
      </w:pPr>
    </w:p>
    <w:p>
      <w:r>
        <w:t>amount là lượng dự đoán ≥16 mm; probability là xác suất ≥τ đã chọn trên calibration. Đây là chẩn đoán bổ sung từ dự đoán đã có, không fit/chọn lại ngưỡng evaluation hoặc thay chỉ số chính. Bảng có đủ ba ngày/hai mô hình ở DECISION_RULES_E7.csv.</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PBL6  |  PHƯƠNG ÁN NGHIÊN CỨU  |  DỰ ĐOÁN VÙNG TRỰC TIẾP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Arial" w:hAnsi="Arial"/>
      <w:b/>
      <w:bCs/>
      <w:color w:val="16465C"/>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16465C"/>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1646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164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nghiên cứu dự đoán mưa vùng trực tiếp tại Đà Nẵng</dc:title>
  <dc:subject>Hợp nhất phương án và quyết định theo sáu tiêu chí</dc:subject>
  <dc:creator>Nhóm PBL6</dc:creator>
  <cp:keywords/>
  <dc:description>generated by python-docx</dc:description>
  <cp:lastModifiedBy/>
  <cp:revision>1</cp:revision>
  <dcterms:created xsi:type="dcterms:W3CDTF">2013-12-23T23:15:00Z</dcterms:created>
  <dcterms:modified xsi:type="dcterms:W3CDTF">2013-12-23T23:15:00Z</dcterms:modified>
  <cp:category/>
</cp:coreProperties>
</file>