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pilot dự đoán mưa vùng 24–72 giờ</w:t>
      </w:r>
    </w:p>
    <w:p>
      <w:r>
        <w:t xml:space="preserve">Ngày 21/10/2026, chuẩn bị cho báo cáo ngày 22/10. </w:t>
      </w:r>
      <w:r>
        <w:rPr>
          <w:b/>
        </w:rPr>
        <w:t>Kết quả sơ bộ, chưa phải nghiên cứu cuối hoặc kiểm định trên2025.</w:t>
      </w:r>
    </w:p>
    <w:p>
      <w:pPr>
        <w:pStyle w:val="Heading1"/>
      </w:pPr>
      <w:r>
        <w:t>1. Điều đã thực hiện</w:t>
      </w:r>
    </w:p>
    <w:p>
      <w:r>
        <w:t>Đã triển khai loader vùng168 h→ba tổng24 h, TFT vùng điều chỉnh và LightGBM. Đã chạy E0/E7 trên ba fold evaluation 2021/2022/2023, seed 42, cùng mask và nhãn; hoàn tất6 lượtTFT và6 pipelineLightGBM.23 kiểm tra code đạt (12 mới,11 bộ chỉ số chung). Nạp lại toàn bộ12 lượt từ artifact đã lưu tái lập chỉ số evaluation trên thiết bị gốc; không tái huấn luyện trong audit.</w:t>
      </w:r>
    </w:p>
    <w:p>
      <w:pPr>
        <w:pStyle w:val="ListBullet"/>
      </w:pPr>
      <w:r>
        <w:t>Ngày 1, E7: BSS LightGBM=0.303; TFT=0.220.</w:t>
      </w:r>
    </w:p>
    <w:p>
      <w:pPr>
        <w:pStyle w:val="ListBullet"/>
      </w:pPr>
      <w:r>
        <w:t>Ngày 1: RMSE LightGBM=17.71; TFT=20.39mm/24 h.</w:t>
      </w:r>
    </w:p>
    <w:p>
      <w:pPr>
        <w:pStyle w:val="ListBullet"/>
      </w:pPr>
      <w:r>
        <w:t>Ngày 3, E7: BSS LightGBM=-0.075; TFT=-0.047.</w:t>
      </w:r>
    </w:p>
    <w:p>
      <w:pPr>
        <w:pStyle w:val="ListBullet"/>
      </w:pPr>
      <w:r>
        <w:t>Mới là pilot một seed; chưa chứng minh TFT tốt hơn đối chứng.</w:t>
      </w:r>
    </w:p>
    <w:p>
      <w:r>
        <w:t>Đây là kết quả của các mô hình đã chạy, không phải bảng dự toán. Không có mô hình Informer trong phép so này, nên không thể kết luận Informer không khả thi.</w:t>
      </w:r>
    </w:p>
    <w:p>
      <w:pPr>
        <w:pStyle w:val="Heading1"/>
      </w:pPr>
      <w:r>
        <w:t>2. Dữ liệu và giao thức</w:t>
      </w:r>
    </w:p>
    <w:p>
      <w:r>
        <w:t>V1: nhãn GSMaP Gauge trung bình diện tích toàn93 ô, footprint xấp xỉ khoảng11.074km²; chưa là giao ranh chính xác toàn địa giới Đà Nẵng mới. Nghiên cứu dự đoán vùng trực tiếp, không dự đoán93 ô rồi gộp sau mô hình. Khí tượng ERA5 quá khứ; không dùng ERA5 giờ đích, mưa quá khứ hoặc nhãn làm predictor. E0=11 cột nền, E7=44 cột B/A/M/C, SST chỉ là một biến vùng, chưa là ENSO/MJO đầy đủ.</w:t>
      </w:r>
    </w:p>
    <w:p>
      <w:r>
        <w:t>Issue00UTC=07 giờVN, mỗi ngày; encoder28bước6 h của7 ngày trước issue; decoder chỉ biết lịch. Y1/Y2/Y3 là các tổng24 h riêng [t,t+24),[t+24,t+48),[t+48,t+72). Không phải tổng tích lũy48/72 h. Đơn vị mm/24 h, trung bình vùng, không phải mức mưa tại điểm hoặc cảnh báo chính thức.</w:t>
      </w:r>
    </w:p>
    <w:p>
      <w:r>
        <w:t>F1train 2015–2019/cal 2020/eval 2021:1809/364/363issue. F2train 2015–2020/cal 2021/eval 2022:2173/363/349. F3train 2015–2021/cal 2022/eval 2023:2536/349/363. Mask chung E7, đủ168 h lịch sử và72 h nhãn permanent; bỏ cửa sổ nhãn qua ranh năm. Scaler và khí hậu chỉ học train; epoch/iteration, Platt và ngưỡng quyết định dùng calibration. Ngưỡng50/100 quá ít sự kiện nên thường không fit Platt; fallback được lưu trong metadata. Calibration không phải tập kiểm định độc lập.</w:t>
      </w:r>
    </w:p>
    <w:p>
      <w:r>
        <w:t>Pooled mỗi lead có1075issue và114sự kiện≥16mm. Các lead là các ngày được dịch, không được cộng thành342sự kiện độc lập. Năm2025 không được đọc để phân tích/fit/chấm;2026 không dùng lựa chọn.</w:t>
      </w:r>
    </w:p>
    <w:p>
      <w:pPr>
        <w:pStyle w:val="Heading1"/>
      </w:pPr>
      <w:r>
        <w:t>3. Kết quả gộp evaluation 2021–2023</w:t>
      </w:r>
    </w:p>
    <w:tbl>
      <w:tblPr>
        <w:tblStyle w:val="LightShading-Accent1"/>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1928"/>
            <w:vAlign w:val="center"/>
          </w:tcPr>
          <w:p>
            <w:pPr>
              <w:spacing w:after="80" w:before="60"/>
            </w:pPr>
            <w:r>
              <w:rPr>
                <w:b/>
                <w:sz w:val="19"/>
              </w:rPr>
              <w:t>Ngày</w:t>
            </w:r>
          </w:p>
        </w:tc>
        <w:tc>
          <w:tcPr>
            <w:tcW w:type="dxa" w:w="1928"/>
            <w:vAlign w:val="center"/>
          </w:tcPr>
          <w:p>
            <w:pPr>
              <w:spacing w:after="80" w:before="60"/>
            </w:pPr>
            <w:r>
              <w:rPr>
                <w:b/>
                <w:sz w:val="19"/>
              </w:rPr>
              <w:t>Cấu hình</w:t>
            </w:r>
          </w:p>
        </w:tc>
        <w:tc>
          <w:tcPr>
            <w:tcW w:type="dxa" w:w="1928"/>
            <w:vAlign w:val="center"/>
          </w:tcPr>
          <w:p>
            <w:pPr>
              <w:spacing w:after="80" w:before="60"/>
            </w:pPr>
            <w:r>
              <w:rPr>
                <w:b/>
                <w:sz w:val="19"/>
              </w:rPr>
              <w:t>RMSE mm/24 h</w:t>
            </w:r>
          </w:p>
        </w:tc>
        <w:tc>
          <w:tcPr>
            <w:tcW w:type="dxa" w:w="1928"/>
            <w:vAlign w:val="center"/>
          </w:tcPr>
          <w:p>
            <w:pPr>
              <w:spacing w:after="80" w:before="60"/>
            </w:pPr>
            <w:r>
              <w:rPr>
                <w:b/>
                <w:sz w:val="19"/>
              </w:rPr>
              <w:t>BSS16</w:t>
            </w:r>
          </w:p>
        </w:tc>
        <w:tc>
          <w:tcPr>
            <w:tcW w:type="dxa" w:w="1928"/>
            <w:vAlign w:val="center"/>
          </w:tcPr>
          <w:p>
            <w:pPr>
              <w:spacing w:after="80" w:before="60"/>
            </w:pPr>
            <w:r>
              <w:rPr>
                <w:b/>
                <w:sz w:val="19"/>
              </w:rPr>
              <w:t>CSI16</w:t>
            </w:r>
          </w:p>
        </w:tc>
      </w:tr>
      <w:tr>
        <w:trPr>
          <w:cantSplit/>
        </w:trPr>
        <w:tc>
          <w:tcPr>
            <w:tcW w:type="dxa" w:w="1928"/>
            <w:vAlign w:val="center"/>
          </w:tcPr>
          <w:p>
            <w:pPr>
              <w:spacing w:after="80" w:before="60"/>
            </w:pPr>
            <w:r>
              <w:rPr>
                <w:sz w:val="19"/>
              </w:rPr>
              <w:t>1</w:t>
            </w:r>
          </w:p>
        </w:tc>
        <w:tc>
          <w:tcPr>
            <w:tcW w:type="dxa" w:w="1928"/>
            <w:vAlign w:val="center"/>
          </w:tcPr>
          <w:p>
            <w:pPr>
              <w:spacing w:after="80" w:before="60"/>
            </w:pPr>
            <w:r>
              <w:rPr>
                <w:sz w:val="19"/>
              </w:rPr>
              <w:t>Khí hậu</w:t>
            </w:r>
          </w:p>
        </w:tc>
        <w:tc>
          <w:tcPr>
            <w:tcW w:type="dxa" w:w="1928"/>
            <w:vAlign w:val="center"/>
          </w:tcPr>
          <w:p>
            <w:pPr>
              <w:spacing w:after="80" w:before="60"/>
            </w:pPr>
            <w:r>
              <w:rPr>
                <w:sz w:val="19"/>
              </w:rPr>
              <w:t>21.179</w:t>
            </w:r>
          </w:p>
        </w:tc>
        <w:tc>
          <w:tcPr>
            <w:tcW w:type="dxa" w:w="1928"/>
            <w:vAlign w:val="center"/>
          </w:tcPr>
          <w:p>
            <w:pPr>
              <w:spacing w:after="80" w:before="60"/>
            </w:pPr>
            <w:r>
              <w:rPr>
                <w:sz w:val="19"/>
              </w:rPr>
              <w:t>0.000</w:t>
            </w:r>
          </w:p>
        </w:tc>
        <w:tc>
          <w:tcPr>
            <w:tcW w:type="dxa" w:w="1928"/>
            <w:vAlign w:val="center"/>
          </w:tcPr>
          <w:p>
            <w:pPr>
              <w:spacing w:after="80" w:before="60"/>
            </w:pPr>
            <w:r>
              <w:rPr>
                <w:sz w:val="19"/>
              </w:rPr>
              <w:t>0.000</w:t>
            </w:r>
          </w:p>
        </w:tc>
      </w:tr>
      <w:tr>
        <w:trPr>
          <w:cantSplit/>
        </w:trPr>
        <w:tc>
          <w:tcPr>
            <w:tcW w:type="dxa" w:w="1928"/>
            <w:vAlign w:val="center"/>
          </w:tcPr>
          <w:p>
            <w:pPr>
              <w:spacing w:after="80" w:before="60"/>
            </w:pPr>
            <w:r>
              <w:rPr>
                <w:sz w:val="19"/>
              </w:rPr>
              <w:t>1</w:t>
            </w:r>
          </w:p>
        </w:tc>
        <w:tc>
          <w:tcPr>
            <w:tcW w:type="dxa" w:w="1928"/>
            <w:vAlign w:val="center"/>
          </w:tcPr>
          <w:p>
            <w:pPr>
              <w:spacing w:after="80" w:before="60"/>
            </w:pPr>
            <w:r>
              <w:rPr>
                <w:sz w:val="19"/>
              </w:rPr>
              <w:t>LightGBM E0</w:t>
            </w:r>
          </w:p>
        </w:tc>
        <w:tc>
          <w:tcPr>
            <w:tcW w:type="dxa" w:w="1928"/>
            <w:vAlign w:val="center"/>
          </w:tcPr>
          <w:p>
            <w:pPr>
              <w:spacing w:after="80" w:before="60"/>
            </w:pPr>
            <w:r>
              <w:rPr>
                <w:sz w:val="19"/>
              </w:rPr>
              <w:t>19.379</w:t>
            </w:r>
          </w:p>
        </w:tc>
        <w:tc>
          <w:tcPr>
            <w:tcW w:type="dxa" w:w="1928"/>
            <w:vAlign w:val="center"/>
          </w:tcPr>
          <w:p>
            <w:pPr>
              <w:spacing w:after="80" w:before="60"/>
            </w:pPr>
            <w:r>
              <w:rPr>
                <w:sz w:val="19"/>
              </w:rPr>
              <w:t>0.144</w:t>
            </w:r>
          </w:p>
        </w:tc>
        <w:tc>
          <w:tcPr>
            <w:tcW w:type="dxa" w:w="1928"/>
            <w:vAlign w:val="center"/>
          </w:tcPr>
          <w:p>
            <w:pPr>
              <w:spacing w:after="80" w:before="60"/>
            </w:pPr>
            <w:r>
              <w:rPr>
                <w:sz w:val="19"/>
              </w:rPr>
              <w:t>0.295</w:t>
            </w:r>
          </w:p>
        </w:tc>
      </w:tr>
      <w:tr>
        <w:trPr>
          <w:cantSplit/>
        </w:trPr>
        <w:tc>
          <w:tcPr>
            <w:tcW w:type="dxa" w:w="1928"/>
            <w:vAlign w:val="center"/>
          </w:tcPr>
          <w:p>
            <w:pPr>
              <w:spacing w:after="80" w:before="60"/>
            </w:pPr>
            <w:r>
              <w:rPr>
                <w:sz w:val="19"/>
              </w:rPr>
              <w:t>1</w:t>
            </w:r>
          </w:p>
        </w:tc>
        <w:tc>
          <w:tcPr>
            <w:tcW w:type="dxa" w:w="1928"/>
            <w:vAlign w:val="center"/>
          </w:tcPr>
          <w:p>
            <w:pPr>
              <w:spacing w:after="80" w:before="60"/>
            </w:pPr>
            <w:r>
              <w:rPr>
                <w:sz w:val="19"/>
              </w:rPr>
              <w:t>LightGBM E7</w:t>
            </w:r>
          </w:p>
        </w:tc>
        <w:tc>
          <w:tcPr>
            <w:tcW w:type="dxa" w:w="1928"/>
            <w:vAlign w:val="center"/>
          </w:tcPr>
          <w:p>
            <w:pPr>
              <w:spacing w:after="80" w:before="60"/>
            </w:pPr>
            <w:r>
              <w:rPr>
                <w:sz w:val="19"/>
              </w:rPr>
              <w:t>17.706</w:t>
            </w:r>
          </w:p>
        </w:tc>
        <w:tc>
          <w:tcPr>
            <w:tcW w:type="dxa" w:w="1928"/>
            <w:vAlign w:val="center"/>
          </w:tcPr>
          <w:p>
            <w:pPr>
              <w:spacing w:after="80" w:before="60"/>
            </w:pPr>
            <w:r>
              <w:rPr>
                <w:sz w:val="19"/>
              </w:rPr>
              <w:t>0.303</w:t>
            </w:r>
          </w:p>
        </w:tc>
        <w:tc>
          <w:tcPr>
            <w:tcW w:type="dxa" w:w="1928"/>
            <w:vAlign w:val="center"/>
          </w:tcPr>
          <w:p>
            <w:pPr>
              <w:spacing w:after="80" w:before="60"/>
            </w:pPr>
            <w:r>
              <w:rPr>
                <w:sz w:val="19"/>
              </w:rPr>
              <w:t>0.411</w:t>
            </w:r>
          </w:p>
        </w:tc>
      </w:tr>
      <w:tr>
        <w:trPr>
          <w:cantSplit/>
        </w:trPr>
        <w:tc>
          <w:tcPr>
            <w:tcW w:type="dxa" w:w="1928"/>
            <w:vAlign w:val="center"/>
          </w:tcPr>
          <w:p>
            <w:pPr>
              <w:spacing w:after="80" w:before="60"/>
            </w:pPr>
            <w:r>
              <w:rPr>
                <w:sz w:val="19"/>
              </w:rPr>
              <w:t>1</w:t>
            </w:r>
          </w:p>
        </w:tc>
        <w:tc>
          <w:tcPr>
            <w:tcW w:type="dxa" w:w="1928"/>
            <w:vAlign w:val="center"/>
          </w:tcPr>
          <w:p>
            <w:pPr>
              <w:spacing w:after="80" w:before="60"/>
            </w:pPr>
            <w:r>
              <w:rPr>
                <w:sz w:val="19"/>
              </w:rPr>
              <w:t>TFT E0</w:t>
            </w:r>
          </w:p>
        </w:tc>
        <w:tc>
          <w:tcPr>
            <w:tcW w:type="dxa" w:w="1928"/>
            <w:vAlign w:val="center"/>
          </w:tcPr>
          <w:p>
            <w:pPr>
              <w:spacing w:after="80" w:before="60"/>
            </w:pPr>
            <w:r>
              <w:rPr>
                <w:sz w:val="19"/>
              </w:rPr>
              <w:t>20.593</w:t>
            </w:r>
          </w:p>
        </w:tc>
        <w:tc>
          <w:tcPr>
            <w:tcW w:type="dxa" w:w="1928"/>
            <w:vAlign w:val="center"/>
          </w:tcPr>
          <w:p>
            <w:pPr>
              <w:spacing w:after="80" w:before="60"/>
            </w:pPr>
            <w:r>
              <w:rPr>
                <w:sz w:val="19"/>
              </w:rPr>
              <w:t>0.133</w:t>
            </w:r>
          </w:p>
        </w:tc>
        <w:tc>
          <w:tcPr>
            <w:tcW w:type="dxa" w:w="1928"/>
            <w:vAlign w:val="center"/>
          </w:tcPr>
          <w:p>
            <w:pPr>
              <w:spacing w:after="80" w:before="60"/>
            </w:pPr>
            <w:r>
              <w:rPr>
                <w:sz w:val="19"/>
              </w:rPr>
              <w:t>0.361</w:t>
            </w:r>
          </w:p>
        </w:tc>
      </w:tr>
      <w:tr>
        <w:trPr>
          <w:cantSplit/>
        </w:trPr>
        <w:tc>
          <w:tcPr>
            <w:tcW w:type="dxa" w:w="1928"/>
            <w:vAlign w:val="center"/>
          </w:tcPr>
          <w:p>
            <w:pPr>
              <w:spacing w:after="80" w:before="60"/>
            </w:pPr>
            <w:r>
              <w:rPr>
                <w:sz w:val="19"/>
              </w:rPr>
              <w:t>1</w:t>
            </w:r>
          </w:p>
        </w:tc>
        <w:tc>
          <w:tcPr>
            <w:tcW w:type="dxa" w:w="1928"/>
            <w:vAlign w:val="center"/>
          </w:tcPr>
          <w:p>
            <w:pPr>
              <w:spacing w:after="80" w:before="60"/>
            </w:pPr>
            <w:r>
              <w:rPr>
                <w:sz w:val="19"/>
              </w:rPr>
              <w:t>TFT E7</w:t>
            </w:r>
          </w:p>
        </w:tc>
        <w:tc>
          <w:tcPr>
            <w:tcW w:type="dxa" w:w="1928"/>
            <w:vAlign w:val="center"/>
          </w:tcPr>
          <w:p>
            <w:pPr>
              <w:spacing w:after="80" w:before="60"/>
            </w:pPr>
            <w:r>
              <w:rPr>
                <w:sz w:val="19"/>
              </w:rPr>
              <w:t>20.391</w:t>
            </w:r>
          </w:p>
        </w:tc>
        <w:tc>
          <w:tcPr>
            <w:tcW w:type="dxa" w:w="1928"/>
            <w:vAlign w:val="center"/>
          </w:tcPr>
          <w:p>
            <w:pPr>
              <w:spacing w:after="80" w:before="60"/>
            </w:pPr>
            <w:r>
              <w:rPr>
                <w:sz w:val="19"/>
              </w:rPr>
              <w:t>0.220</w:t>
            </w:r>
          </w:p>
        </w:tc>
        <w:tc>
          <w:tcPr>
            <w:tcW w:type="dxa" w:w="1928"/>
            <w:vAlign w:val="center"/>
          </w:tcPr>
          <w:p>
            <w:pPr>
              <w:spacing w:after="80" w:before="60"/>
            </w:pPr>
            <w:r>
              <w:rPr>
                <w:sz w:val="19"/>
              </w:rPr>
              <w:t>0.414</w:t>
            </w:r>
          </w:p>
        </w:tc>
      </w:tr>
      <w:tr>
        <w:trPr>
          <w:cantSplit/>
        </w:trPr>
        <w:tc>
          <w:tcPr>
            <w:tcW w:type="dxa" w:w="1928"/>
            <w:vAlign w:val="center"/>
          </w:tcPr>
          <w:p>
            <w:pPr>
              <w:spacing w:after="80" w:before="60"/>
            </w:pPr>
            <w:r>
              <w:rPr>
                <w:sz w:val="19"/>
              </w:rPr>
              <w:t>2</w:t>
            </w:r>
          </w:p>
        </w:tc>
        <w:tc>
          <w:tcPr>
            <w:tcW w:type="dxa" w:w="1928"/>
            <w:vAlign w:val="center"/>
          </w:tcPr>
          <w:p>
            <w:pPr>
              <w:spacing w:after="80" w:before="60"/>
            </w:pPr>
            <w:r>
              <w:rPr>
                <w:sz w:val="19"/>
              </w:rPr>
              <w:t>Khí hậu</w:t>
            </w:r>
          </w:p>
        </w:tc>
        <w:tc>
          <w:tcPr>
            <w:tcW w:type="dxa" w:w="1928"/>
            <w:vAlign w:val="center"/>
          </w:tcPr>
          <w:p>
            <w:pPr>
              <w:spacing w:after="80" w:before="60"/>
            </w:pPr>
            <w:r>
              <w:rPr>
                <w:sz w:val="19"/>
              </w:rPr>
              <w:t>21.181</w:t>
            </w:r>
          </w:p>
        </w:tc>
        <w:tc>
          <w:tcPr>
            <w:tcW w:type="dxa" w:w="1928"/>
            <w:vAlign w:val="center"/>
          </w:tcPr>
          <w:p>
            <w:pPr>
              <w:spacing w:after="80" w:before="60"/>
            </w:pPr>
            <w:r>
              <w:rPr>
                <w:sz w:val="19"/>
              </w:rPr>
              <w:t>0.000</w:t>
            </w:r>
          </w:p>
        </w:tc>
        <w:tc>
          <w:tcPr>
            <w:tcW w:type="dxa" w:w="1928"/>
            <w:vAlign w:val="center"/>
          </w:tcPr>
          <w:p>
            <w:pPr>
              <w:spacing w:after="80" w:before="60"/>
            </w:pPr>
            <w:r>
              <w:rPr>
                <w:sz w:val="19"/>
              </w:rPr>
              <w:t>0.000</w:t>
            </w:r>
          </w:p>
        </w:tc>
      </w:tr>
      <w:tr>
        <w:trPr>
          <w:cantSplit/>
        </w:trPr>
        <w:tc>
          <w:tcPr>
            <w:tcW w:type="dxa" w:w="1928"/>
            <w:vAlign w:val="center"/>
          </w:tcPr>
          <w:p>
            <w:pPr>
              <w:spacing w:after="80" w:before="60"/>
            </w:pPr>
            <w:r>
              <w:rPr>
                <w:sz w:val="19"/>
              </w:rPr>
              <w:t>2</w:t>
            </w:r>
          </w:p>
        </w:tc>
        <w:tc>
          <w:tcPr>
            <w:tcW w:type="dxa" w:w="1928"/>
            <w:vAlign w:val="center"/>
          </w:tcPr>
          <w:p>
            <w:pPr>
              <w:spacing w:after="80" w:before="60"/>
            </w:pPr>
            <w:r>
              <w:rPr>
                <w:sz w:val="19"/>
              </w:rPr>
              <w:t>LightGBM E0</w:t>
            </w:r>
          </w:p>
        </w:tc>
        <w:tc>
          <w:tcPr>
            <w:tcW w:type="dxa" w:w="1928"/>
            <w:vAlign w:val="center"/>
          </w:tcPr>
          <w:p>
            <w:pPr>
              <w:spacing w:after="80" w:before="60"/>
            </w:pPr>
            <w:r>
              <w:rPr>
                <w:sz w:val="19"/>
              </w:rPr>
              <w:t>21.204</w:t>
            </w:r>
          </w:p>
        </w:tc>
        <w:tc>
          <w:tcPr>
            <w:tcW w:type="dxa" w:w="1928"/>
            <w:vAlign w:val="center"/>
          </w:tcPr>
          <w:p>
            <w:pPr>
              <w:spacing w:after="80" w:before="60"/>
            </w:pPr>
            <w:r>
              <w:rPr>
                <w:sz w:val="19"/>
              </w:rPr>
              <w:t>-0.015</w:t>
            </w:r>
          </w:p>
        </w:tc>
        <w:tc>
          <w:tcPr>
            <w:tcW w:type="dxa" w:w="1928"/>
            <w:vAlign w:val="center"/>
          </w:tcPr>
          <w:p>
            <w:pPr>
              <w:spacing w:after="80" w:before="60"/>
            </w:pPr>
            <w:r>
              <w:rPr>
                <w:sz w:val="19"/>
              </w:rPr>
              <w:t>0.243</w:t>
            </w:r>
          </w:p>
        </w:tc>
      </w:tr>
      <w:tr>
        <w:trPr>
          <w:cantSplit/>
        </w:trPr>
        <w:tc>
          <w:tcPr>
            <w:tcW w:type="dxa" w:w="1928"/>
            <w:vAlign w:val="center"/>
          </w:tcPr>
          <w:p>
            <w:pPr>
              <w:spacing w:after="80" w:before="60"/>
            </w:pPr>
            <w:r>
              <w:rPr>
                <w:sz w:val="19"/>
              </w:rPr>
              <w:t>2</w:t>
            </w:r>
          </w:p>
        </w:tc>
        <w:tc>
          <w:tcPr>
            <w:tcW w:type="dxa" w:w="1928"/>
            <w:vAlign w:val="center"/>
          </w:tcPr>
          <w:p>
            <w:pPr>
              <w:spacing w:after="80" w:before="60"/>
            </w:pPr>
            <w:r>
              <w:rPr>
                <w:sz w:val="19"/>
              </w:rPr>
              <w:t>LightGBM E7</w:t>
            </w:r>
          </w:p>
        </w:tc>
        <w:tc>
          <w:tcPr>
            <w:tcW w:type="dxa" w:w="1928"/>
            <w:vAlign w:val="center"/>
          </w:tcPr>
          <w:p>
            <w:pPr>
              <w:spacing w:after="80" w:before="60"/>
            </w:pPr>
            <w:r>
              <w:rPr>
                <w:sz w:val="19"/>
              </w:rPr>
              <w:t>20.756</w:t>
            </w:r>
          </w:p>
        </w:tc>
        <w:tc>
          <w:tcPr>
            <w:tcW w:type="dxa" w:w="1928"/>
            <w:vAlign w:val="center"/>
          </w:tcPr>
          <w:p>
            <w:pPr>
              <w:spacing w:after="80" w:before="60"/>
            </w:pPr>
            <w:r>
              <w:rPr>
                <w:sz w:val="19"/>
              </w:rPr>
              <w:t>0.043</w:t>
            </w:r>
          </w:p>
        </w:tc>
        <w:tc>
          <w:tcPr>
            <w:tcW w:type="dxa" w:w="1928"/>
            <w:vAlign w:val="center"/>
          </w:tcPr>
          <w:p>
            <w:pPr>
              <w:spacing w:after="80" w:before="60"/>
            </w:pPr>
            <w:r>
              <w:rPr>
                <w:sz w:val="19"/>
              </w:rPr>
              <w:t>0.277</w:t>
            </w:r>
          </w:p>
        </w:tc>
      </w:tr>
      <w:tr>
        <w:trPr>
          <w:cantSplit/>
        </w:trPr>
        <w:tc>
          <w:tcPr>
            <w:tcW w:type="dxa" w:w="1928"/>
            <w:vAlign w:val="center"/>
          </w:tcPr>
          <w:p>
            <w:pPr>
              <w:spacing w:after="80" w:before="60"/>
            </w:pPr>
            <w:r>
              <w:rPr>
                <w:sz w:val="19"/>
              </w:rPr>
              <w:t>2</w:t>
            </w:r>
          </w:p>
        </w:tc>
        <w:tc>
          <w:tcPr>
            <w:tcW w:type="dxa" w:w="1928"/>
            <w:vAlign w:val="center"/>
          </w:tcPr>
          <w:p>
            <w:pPr>
              <w:spacing w:after="80" w:before="60"/>
            </w:pPr>
            <w:r>
              <w:rPr>
                <w:sz w:val="19"/>
              </w:rPr>
              <w:t>TFT E0</w:t>
            </w:r>
          </w:p>
        </w:tc>
        <w:tc>
          <w:tcPr>
            <w:tcW w:type="dxa" w:w="1928"/>
            <w:vAlign w:val="center"/>
          </w:tcPr>
          <w:p>
            <w:pPr>
              <w:spacing w:after="80" w:before="60"/>
            </w:pPr>
            <w:r>
              <w:rPr>
                <w:sz w:val="19"/>
              </w:rPr>
              <w:t>21.016</w:t>
            </w:r>
          </w:p>
        </w:tc>
        <w:tc>
          <w:tcPr>
            <w:tcW w:type="dxa" w:w="1928"/>
            <w:vAlign w:val="center"/>
          </w:tcPr>
          <w:p>
            <w:pPr>
              <w:spacing w:after="80" w:before="60"/>
            </w:pPr>
            <w:r>
              <w:rPr>
                <w:sz w:val="19"/>
              </w:rPr>
              <w:t>0.022</w:t>
            </w:r>
          </w:p>
        </w:tc>
        <w:tc>
          <w:tcPr>
            <w:tcW w:type="dxa" w:w="1928"/>
            <w:vAlign w:val="center"/>
          </w:tcPr>
          <w:p>
            <w:pPr>
              <w:spacing w:after="80" w:before="60"/>
            </w:pPr>
            <w:r>
              <w:rPr>
                <w:sz w:val="19"/>
              </w:rPr>
              <w:t>0.265</w:t>
            </w:r>
          </w:p>
        </w:tc>
      </w:tr>
      <w:tr>
        <w:trPr>
          <w:cantSplit/>
        </w:trPr>
        <w:tc>
          <w:tcPr>
            <w:tcW w:type="dxa" w:w="1928"/>
            <w:vAlign w:val="center"/>
          </w:tcPr>
          <w:p>
            <w:pPr>
              <w:spacing w:after="80" w:before="60"/>
            </w:pPr>
            <w:r>
              <w:rPr>
                <w:sz w:val="19"/>
              </w:rPr>
              <w:t>2</w:t>
            </w:r>
          </w:p>
        </w:tc>
        <w:tc>
          <w:tcPr>
            <w:tcW w:type="dxa" w:w="1928"/>
            <w:vAlign w:val="center"/>
          </w:tcPr>
          <w:p>
            <w:pPr>
              <w:spacing w:after="80" w:before="60"/>
            </w:pPr>
            <w:r>
              <w:rPr>
                <w:sz w:val="19"/>
              </w:rPr>
              <w:t>TFT E7</w:t>
            </w:r>
          </w:p>
        </w:tc>
        <w:tc>
          <w:tcPr>
            <w:tcW w:type="dxa" w:w="1928"/>
            <w:vAlign w:val="center"/>
          </w:tcPr>
          <w:p>
            <w:pPr>
              <w:spacing w:after="80" w:before="60"/>
            </w:pPr>
            <w:r>
              <w:rPr>
                <w:sz w:val="19"/>
              </w:rPr>
              <w:t>21.053</w:t>
            </w:r>
          </w:p>
        </w:tc>
        <w:tc>
          <w:tcPr>
            <w:tcW w:type="dxa" w:w="1928"/>
            <w:vAlign w:val="center"/>
          </w:tcPr>
          <w:p>
            <w:pPr>
              <w:spacing w:after="80" w:before="60"/>
            </w:pPr>
            <w:r>
              <w:rPr>
                <w:sz w:val="19"/>
              </w:rPr>
              <w:t>0.010</w:t>
            </w:r>
          </w:p>
        </w:tc>
        <w:tc>
          <w:tcPr>
            <w:tcW w:type="dxa" w:w="1928"/>
            <w:vAlign w:val="center"/>
          </w:tcPr>
          <w:p>
            <w:pPr>
              <w:spacing w:after="80" w:before="60"/>
            </w:pPr>
            <w:r>
              <w:rPr>
                <w:sz w:val="19"/>
              </w:rPr>
              <w:t>0.238</w:t>
            </w:r>
          </w:p>
        </w:tc>
      </w:tr>
      <w:tr>
        <w:trPr>
          <w:cantSplit/>
        </w:trPr>
        <w:tc>
          <w:tcPr>
            <w:tcW w:type="dxa" w:w="1928"/>
            <w:vAlign w:val="center"/>
          </w:tcPr>
          <w:p>
            <w:pPr>
              <w:spacing w:after="80" w:before="60"/>
            </w:pPr>
            <w:r>
              <w:rPr>
                <w:sz w:val="19"/>
              </w:rPr>
              <w:t>3</w:t>
            </w:r>
          </w:p>
        </w:tc>
        <w:tc>
          <w:tcPr>
            <w:tcW w:type="dxa" w:w="1928"/>
            <w:vAlign w:val="center"/>
          </w:tcPr>
          <w:p>
            <w:pPr>
              <w:spacing w:after="80" w:before="60"/>
            </w:pPr>
            <w:r>
              <w:rPr>
                <w:sz w:val="19"/>
              </w:rPr>
              <w:t>Khí hậu</w:t>
            </w:r>
          </w:p>
        </w:tc>
        <w:tc>
          <w:tcPr>
            <w:tcW w:type="dxa" w:w="1928"/>
            <w:vAlign w:val="center"/>
          </w:tcPr>
          <w:p>
            <w:pPr>
              <w:spacing w:after="80" w:before="60"/>
            </w:pPr>
            <w:r>
              <w:rPr>
                <w:sz w:val="19"/>
              </w:rPr>
              <w:t>21.188</w:t>
            </w:r>
          </w:p>
        </w:tc>
        <w:tc>
          <w:tcPr>
            <w:tcW w:type="dxa" w:w="1928"/>
            <w:vAlign w:val="center"/>
          </w:tcPr>
          <w:p>
            <w:pPr>
              <w:spacing w:after="80" w:before="60"/>
            </w:pPr>
            <w:r>
              <w:rPr>
                <w:sz w:val="19"/>
              </w:rPr>
              <w:t>0.000</w:t>
            </w:r>
          </w:p>
        </w:tc>
        <w:tc>
          <w:tcPr>
            <w:tcW w:type="dxa" w:w="1928"/>
            <w:vAlign w:val="center"/>
          </w:tcPr>
          <w:p>
            <w:pPr>
              <w:spacing w:after="80" w:before="60"/>
            </w:pPr>
            <w:r>
              <w:rPr>
                <w:sz w:val="19"/>
              </w:rPr>
              <w:t>0.000</w:t>
            </w:r>
          </w:p>
        </w:tc>
      </w:tr>
      <w:tr>
        <w:trPr>
          <w:cantSplit/>
        </w:trPr>
        <w:tc>
          <w:tcPr>
            <w:tcW w:type="dxa" w:w="1928"/>
            <w:vAlign w:val="center"/>
          </w:tcPr>
          <w:p>
            <w:pPr>
              <w:spacing w:after="80" w:before="60"/>
            </w:pPr>
            <w:r>
              <w:rPr>
                <w:sz w:val="19"/>
              </w:rPr>
              <w:t>3</w:t>
            </w:r>
          </w:p>
        </w:tc>
        <w:tc>
          <w:tcPr>
            <w:tcW w:type="dxa" w:w="1928"/>
            <w:vAlign w:val="center"/>
          </w:tcPr>
          <w:p>
            <w:pPr>
              <w:spacing w:after="80" w:before="60"/>
            </w:pPr>
            <w:r>
              <w:rPr>
                <w:sz w:val="19"/>
              </w:rPr>
              <w:t>LightGBM E0</w:t>
            </w:r>
          </w:p>
        </w:tc>
        <w:tc>
          <w:tcPr>
            <w:tcW w:type="dxa" w:w="1928"/>
            <w:vAlign w:val="center"/>
          </w:tcPr>
          <w:p>
            <w:pPr>
              <w:spacing w:after="80" w:before="60"/>
            </w:pPr>
            <w:r>
              <w:rPr>
                <w:sz w:val="19"/>
              </w:rPr>
              <w:t>21.637</w:t>
            </w:r>
          </w:p>
        </w:tc>
        <w:tc>
          <w:tcPr>
            <w:tcW w:type="dxa" w:w="1928"/>
            <w:vAlign w:val="center"/>
          </w:tcPr>
          <w:p>
            <w:pPr>
              <w:spacing w:after="80" w:before="60"/>
            </w:pPr>
            <w:r>
              <w:rPr>
                <w:sz w:val="19"/>
              </w:rPr>
              <w:t>-0.053</w:t>
            </w:r>
          </w:p>
        </w:tc>
        <w:tc>
          <w:tcPr>
            <w:tcW w:type="dxa" w:w="1928"/>
            <w:vAlign w:val="center"/>
          </w:tcPr>
          <w:p>
            <w:pPr>
              <w:spacing w:after="80" w:before="60"/>
            </w:pPr>
            <w:r>
              <w:rPr>
                <w:sz w:val="19"/>
              </w:rPr>
              <w:t>0.173</w:t>
            </w:r>
          </w:p>
        </w:tc>
      </w:tr>
      <w:tr>
        <w:trPr>
          <w:cantSplit/>
        </w:trPr>
        <w:tc>
          <w:tcPr>
            <w:tcW w:type="dxa" w:w="1928"/>
            <w:vAlign w:val="center"/>
          </w:tcPr>
          <w:p>
            <w:pPr>
              <w:spacing w:after="80" w:before="60"/>
            </w:pPr>
            <w:r>
              <w:rPr>
                <w:sz w:val="19"/>
              </w:rPr>
              <w:t>3</w:t>
            </w:r>
          </w:p>
        </w:tc>
        <w:tc>
          <w:tcPr>
            <w:tcW w:type="dxa" w:w="1928"/>
            <w:vAlign w:val="center"/>
          </w:tcPr>
          <w:p>
            <w:pPr>
              <w:spacing w:after="80" w:before="60"/>
            </w:pPr>
            <w:r>
              <w:rPr>
                <w:sz w:val="19"/>
              </w:rPr>
              <w:t>LightGBM E7</w:t>
            </w:r>
          </w:p>
        </w:tc>
        <w:tc>
          <w:tcPr>
            <w:tcW w:type="dxa" w:w="1928"/>
            <w:vAlign w:val="center"/>
          </w:tcPr>
          <w:p>
            <w:pPr>
              <w:spacing w:after="80" w:before="60"/>
            </w:pPr>
            <w:r>
              <w:rPr>
                <w:sz w:val="19"/>
              </w:rPr>
              <w:t>21.742</w:t>
            </w:r>
          </w:p>
        </w:tc>
        <w:tc>
          <w:tcPr>
            <w:tcW w:type="dxa" w:w="1928"/>
            <w:vAlign w:val="center"/>
          </w:tcPr>
          <w:p>
            <w:pPr>
              <w:spacing w:after="80" w:before="60"/>
            </w:pPr>
            <w:r>
              <w:rPr>
                <w:sz w:val="19"/>
              </w:rPr>
              <w:t>-0.075</w:t>
            </w:r>
          </w:p>
        </w:tc>
        <w:tc>
          <w:tcPr>
            <w:tcW w:type="dxa" w:w="1928"/>
            <w:vAlign w:val="center"/>
          </w:tcPr>
          <w:p>
            <w:pPr>
              <w:spacing w:after="80" w:before="60"/>
            </w:pPr>
            <w:r>
              <w:rPr>
                <w:sz w:val="19"/>
              </w:rPr>
              <w:t>0.203</w:t>
            </w:r>
          </w:p>
        </w:tc>
      </w:tr>
      <w:tr>
        <w:trPr>
          <w:cantSplit/>
        </w:trPr>
        <w:tc>
          <w:tcPr>
            <w:tcW w:type="dxa" w:w="1928"/>
            <w:vAlign w:val="center"/>
          </w:tcPr>
          <w:p>
            <w:pPr>
              <w:spacing w:after="80" w:before="60"/>
            </w:pPr>
            <w:r>
              <w:rPr>
                <w:sz w:val="19"/>
              </w:rPr>
              <w:t>3</w:t>
            </w:r>
          </w:p>
        </w:tc>
        <w:tc>
          <w:tcPr>
            <w:tcW w:type="dxa" w:w="1928"/>
            <w:vAlign w:val="center"/>
          </w:tcPr>
          <w:p>
            <w:pPr>
              <w:spacing w:after="80" w:before="60"/>
            </w:pPr>
            <w:r>
              <w:rPr>
                <w:sz w:val="19"/>
              </w:rPr>
              <w:t>TFT E0</w:t>
            </w:r>
          </w:p>
        </w:tc>
        <w:tc>
          <w:tcPr>
            <w:tcW w:type="dxa" w:w="1928"/>
            <w:vAlign w:val="center"/>
          </w:tcPr>
          <w:p>
            <w:pPr>
              <w:spacing w:after="80" w:before="60"/>
            </w:pPr>
            <w:r>
              <w:rPr>
                <w:sz w:val="19"/>
              </w:rPr>
              <w:t>21.216</w:t>
            </w:r>
          </w:p>
        </w:tc>
        <w:tc>
          <w:tcPr>
            <w:tcW w:type="dxa" w:w="1928"/>
            <w:vAlign w:val="center"/>
          </w:tcPr>
          <w:p>
            <w:pPr>
              <w:spacing w:after="80" w:before="60"/>
            </w:pPr>
            <w:r>
              <w:rPr>
                <w:sz w:val="19"/>
              </w:rPr>
              <w:t>-0.029</w:t>
            </w:r>
          </w:p>
        </w:tc>
        <w:tc>
          <w:tcPr>
            <w:tcW w:type="dxa" w:w="1928"/>
            <w:vAlign w:val="center"/>
          </w:tcPr>
          <w:p>
            <w:pPr>
              <w:spacing w:after="80" w:before="60"/>
            </w:pPr>
            <w:r>
              <w:rPr>
                <w:sz w:val="19"/>
              </w:rPr>
              <w:t>0.205</w:t>
            </w:r>
          </w:p>
        </w:tc>
      </w:tr>
      <w:tr>
        <w:trPr>
          <w:cantSplit/>
        </w:trPr>
        <w:tc>
          <w:tcPr>
            <w:tcW w:type="dxa" w:w="1928"/>
            <w:vAlign w:val="center"/>
          </w:tcPr>
          <w:p>
            <w:pPr>
              <w:spacing w:after="80" w:before="60"/>
            </w:pPr>
            <w:r>
              <w:rPr>
                <w:sz w:val="19"/>
              </w:rPr>
              <w:t>3</w:t>
            </w:r>
          </w:p>
        </w:tc>
        <w:tc>
          <w:tcPr>
            <w:tcW w:type="dxa" w:w="1928"/>
            <w:vAlign w:val="center"/>
          </w:tcPr>
          <w:p>
            <w:pPr>
              <w:spacing w:after="80" w:before="60"/>
            </w:pPr>
            <w:r>
              <w:rPr>
                <w:sz w:val="19"/>
              </w:rPr>
              <w:t>TFT E7</w:t>
            </w:r>
          </w:p>
        </w:tc>
        <w:tc>
          <w:tcPr>
            <w:tcW w:type="dxa" w:w="1928"/>
            <w:vAlign w:val="center"/>
          </w:tcPr>
          <w:p>
            <w:pPr>
              <w:spacing w:after="80" w:before="60"/>
            </w:pPr>
            <w:r>
              <w:rPr>
                <w:sz w:val="19"/>
              </w:rPr>
              <w:t>21.323</w:t>
            </w:r>
          </w:p>
        </w:tc>
        <w:tc>
          <w:tcPr>
            <w:tcW w:type="dxa" w:w="1928"/>
            <w:vAlign w:val="center"/>
          </w:tcPr>
          <w:p>
            <w:pPr>
              <w:spacing w:after="80" w:before="60"/>
            </w:pPr>
            <w:r>
              <w:rPr>
                <w:sz w:val="19"/>
              </w:rPr>
              <w:t>-0.047</w:t>
            </w:r>
          </w:p>
        </w:tc>
        <w:tc>
          <w:tcPr>
            <w:tcW w:type="dxa" w:w="1928"/>
            <w:vAlign w:val="center"/>
          </w:tcPr>
          <w:p>
            <w:pPr>
              <w:spacing w:after="80" w:before="60"/>
            </w:pPr>
            <w:r>
              <w:rPr>
                <w:sz w:val="19"/>
              </w:rPr>
              <w:t>0.206</w:t>
            </w:r>
          </w:p>
        </w:tc>
      </w:tr>
    </w:tbl>
    <w:p>
      <w:pPr>
        <w:spacing w:after="20"/>
      </w:pPr>
    </w:p>
    <w:p>
      <w:r>
        <w:t>BSS so với xác suất khí hậu theo tháng đích/lead học từ train, làm trơn20 pseudo-observation. BSS&gt;0 có kỹ năng so với reference; &lt;0 kém hơn reference trong phép đo này. CSI16 dùng threshold xác suất chọn trên calibration; không phải CSI từ lượng mm. CSI từ lượng mm, POD/FAR, MAE/bias và các ngưỡng50/100 có trong scores.csv. PooledBSS tính trên toàn bộ lỗi ghép và reference từng fold, không trung bình cơ học ba BSS năm.</w:t>
      </w:r>
    </w:p>
    <w:p>
      <w:pPr>
        <w:pStyle w:val="Heading1"/>
      </w:pPr>
      <w:r>
        <w:t>4. Tác dụng thêm toàn bộ đặc trưng E7 so E0</w:t>
      </w:r>
    </w:p>
    <w:tbl>
      <w:tblPr>
        <w:tblStyle w:val="LightShading-Accent1"/>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1928"/>
            <w:vAlign w:val="center"/>
          </w:tcPr>
          <w:p>
            <w:pPr>
              <w:spacing w:after="80" w:before="60"/>
            </w:pPr>
            <w:r>
              <w:rPr>
                <w:b/>
                <w:sz w:val="19"/>
              </w:rPr>
              <w:t>Họ</w:t>
            </w:r>
          </w:p>
        </w:tc>
        <w:tc>
          <w:tcPr>
            <w:tcW w:type="dxa" w:w="1928"/>
            <w:vAlign w:val="center"/>
          </w:tcPr>
          <w:p>
            <w:pPr>
              <w:spacing w:after="80" w:before="60"/>
            </w:pPr>
            <w:r>
              <w:rPr>
                <w:b/>
                <w:sz w:val="19"/>
              </w:rPr>
              <w:t>Ngày</w:t>
            </w:r>
          </w:p>
        </w:tc>
        <w:tc>
          <w:tcPr>
            <w:tcW w:type="dxa" w:w="1928"/>
            <w:vAlign w:val="center"/>
          </w:tcPr>
          <w:p>
            <w:pPr>
              <w:spacing w:after="80" w:before="60"/>
            </w:pPr>
            <w:r>
              <w:rPr>
                <w:b/>
                <w:sz w:val="19"/>
              </w:rPr>
              <w:t>Chỉ số ΔE7−E0</w:t>
            </w:r>
          </w:p>
        </w:tc>
        <w:tc>
          <w:tcPr>
            <w:tcW w:type="dxa" w:w="1928"/>
            <w:vAlign w:val="center"/>
          </w:tcPr>
          <w:p>
            <w:pPr>
              <w:spacing w:after="80" w:before="60"/>
            </w:pPr>
            <w:r>
              <w:rPr>
                <w:b/>
                <w:sz w:val="19"/>
              </w:rPr>
              <w:t>Ước lượng</w:t>
            </w:r>
          </w:p>
        </w:tc>
        <w:tc>
          <w:tcPr>
            <w:tcW w:type="dxa" w:w="1928"/>
            <w:vAlign w:val="center"/>
          </w:tcPr>
          <w:p>
            <w:pPr>
              <w:spacing w:after="80" w:before="60"/>
            </w:pPr>
            <w:r>
              <w:rPr>
                <w:b/>
                <w:sz w:val="19"/>
              </w:rPr>
              <w:t>CI95%</w:t>
            </w:r>
          </w:p>
        </w:tc>
      </w:tr>
      <w:tr>
        <w:trPr>
          <w:cantSplit/>
        </w:trPr>
        <w:tc>
          <w:tcPr>
            <w:tcW w:type="dxa" w:w="1928"/>
            <w:vAlign w:val="center"/>
          </w:tcPr>
          <w:p>
            <w:pPr>
              <w:spacing w:after="80" w:before="60"/>
            </w:pPr>
            <w:r>
              <w:rPr>
                <w:sz w:val="19"/>
              </w:rPr>
              <w:t>lgbm</w:t>
            </w:r>
          </w:p>
        </w:tc>
        <w:tc>
          <w:tcPr>
            <w:tcW w:type="dxa" w:w="1928"/>
            <w:vAlign w:val="center"/>
          </w:tcPr>
          <w:p>
            <w:pPr>
              <w:spacing w:after="80" w:before="60"/>
            </w:pPr>
            <w:r>
              <w:rPr>
                <w:sz w:val="19"/>
              </w:rPr>
              <w:t>1</w:t>
            </w:r>
          </w:p>
        </w:tc>
        <w:tc>
          <w:tcPr>
            <w:tcW w:type="dxa" w:w="1928"/>
            <w:vAlign w:val="center"/>
          </w:tcPr>
          <w:p>
            <w:pPr>
              <w:spacing w:after="80" w:before="60"/>
            </w:pPr>
            <w:r>
              <w:rPr>
                <w:sz w:val="19"/>
              </w:rPr>
              <w:t>RMSE</w:t>
            </w:r>
          </w:p>
        </w:tc>
        <w:tc>
          <w:tcPr>
            <w:tcW w:type="dxa" w:w="1928"/>
            <w:vAlign w:val="center"/>
          </w:tcPr>
          <w:p>
            <w:pPr>
              <w:spacing w:after="80" w:before="60"/>
            </w:pPr>
            <w:r>
              <w:rPr>
                <w:sz w:val="19"/>
              </w:rPr>
              <w:t>-1.672</w:t>
            </w:r>
          </w:p>
        </w:tc>
        <w:tc>
          <w:tcPr>
            <w:tcW w:type="dxa" w:w="1928"/>
            <w:vAlign w:val="center"/>
          </w:tcPr>
          <w:p>
            <w:pPr>
              <w:spacing w:after="80" w:before="60"/>
            </w:pPr>
            <w:r>
              <w:rPr>
                <w:sz w:val="19"/>
              </w:rPr>
              <w:t>[-2.282; -1.042]</w:t>
            </w:r>
          </w:p>
        </w:tc>
      </w:tr>
      <w:tr>
        <w:trPr>
          <w:cantSplit/>
        </w:trPr>
        <w:tc>
          <w:tcPr>
            <w:tcW w:type="dxa" w:w="1928"/>
            <w:vAlign w:val="center"/>
          </w:tcPr>
          <w:p>
            <w:pPr>
              <w:spacing w:after="80" w:before="60"/>
            </w:pPr>
            <w:r>
              <w:rPr>
                <w:sz w:val="19"/>
              </w:rPr>
              <w:t>lgbm</w:t>
            </w:r>
          </w:p>
        </w:tc>
        <w:tc>
          <w:tcPr>
            <w:tcW w:type="dxa" w:w="1928"/>
            <w:vAlign w:val="center"/>
          </w:tcPr>
          <w:p>
            <w:pPr>
              <w:spacing w:after="80" w:before="60"/>
            </w:pPr>
            <w:r>
              <w:rPr>
                <w:sz w:val="19"/>
              </w:rPr>
              <w:t>1</w:t>
            </w:r>
          </w:p>
        </w:tc>
        <w:tc>
          <w:tcPr>
            <w:tcW w:type="dxa" w:w="1928"/>
            <w:vAlign w:val="center"/>
          </w:tcPr>
          <w:p>
            <w:pPr>
              <w:spacing w:after="80" w:before="60"/>
            </w:pPr>
            <w:r>
              <w:rPr>
                <w:sz w:val="19"/>
              </w:rPr>
              <w:t>BSS16</w:t>
            </w:r>
          </w:p>
        </w:tc>
        <w:tc>
          <w:tcPr>
            <w:tcW w:type="dxa" w:w="1928"/>
            <w:vAlign w:val="center"/>
          </w:tcPr>
          <w:p>
            <w:pPr>
              <w:spacing w:after="80" w:before="60"/>
            </w:pPr>
            <w:r>
              <w:rPr>
                <w:sz w:val="19"/>
              </w:rPr>
              <w:t>0.160</w:t>
            </w:r>
          </w:p>
        </w:tc>
        <w:tc>
          <w:tcPr>
            <w:tcW w:type="dxa" w:w="1928"/>
            <w:vAlign w:val="center"/>
          </w:tcPr>
          <w:p>
            <w:pPr>
              <w:spacing w:after="80" w:before="60"/>
            </w:pPr>
            <w:r>
              <w:rPr>
                <w:sz w:val="19"/>
              </w:rPr>
              <w:t>[0.101; 0.223]</w:t>
            </w:r>
          </w:p>
        </w:tc>
      </w:tr>
      <w:tr>
        <w:trPr>
          <w:cantSplit/>
        </w:trPr>
        <w:tc>
          <w:tcPr>
            <w:tcW w:type="dxa" w:w="1928"/>
            <w:vAlign w:val="center"/>
          </w:tcPr>
          <w:p>
            <w:pPr>
              <w:spacing w:after="80" w:before="60"/>
            </w:pPr>
            <w:r>
              <w:rPr>
                <w:sz w:val="19"/>
              </w:rPr>
              <w:t>lgbm</w:t>
            </w:r>
          </w:p>
        </w:tc>
        <w:tc>
          <w:tcPr>
            <w:tcW w:type="dxa" w:w="1928"/>
            <w:vAlign w:val="center"/>
          </w:tcPr>
          <w:p>
            <w:pPr>
              <w:spacing w:after="80" w:before="60"/>
            </w:pPr>
            <w:r>
              <w:rPr>
                <w:sz w:val="19"/>
              </w:rPr>
              <w:t>2</w:t>
            </w:r>
          </w:p>
        </w:tc>
        <w:tc>
          <w:tcPr>
            <w:tcW w:type="dxa" w:w="1928"/>
            <w:vAlign w:val="center"/>
          </w:tcPr>
          <w:p>
            <w:pPr>
              <w:spacing w:after="80" w:before="60"/>
            </w:pPr>
            <w:r>
              <w:rPr>
                <w:sz w:val="19"/>
              </w:rPr>
              <w:t>RMSE</w:t>
            </w:r>
          </w:p>
        </w:tc>
        <w:tc>
          <w:tcPr>
            <w:tcW w:type="dxa" w:w="1928"/>
            <w:vAlign w:val="center"/>
          </w:tcPr>
          <w:p>
            <w:pPr>
              <w:spacing w:after="80" w:before="60"/>
            </w:pPr>
            <w:r>
              <w:rPr>
                <w:sz w:val="19"/>
              </w:rPr>
              <w:t>-0.448</w:t>
            </w:r>
          </w:p>
        </w:tc>
        <w:tc>
          <w:tcPr>
            <w:tcW w:type="dxa" w:w="1928"/>
            <w:vAlign w:val="center"/>
          </w:tcPr>
          <w:p>
            <w:pPr>
              <w:spacing w:after="80" w:before="60"/>
            </w:pPr>
            <w:r>
              <w:rPr>
                <w:sz w:val="19"/>
              </w:rPr>
              <w:t>[-0.728; -0.174]</w:t>
            </w:r>
          </w:p>
        </w:tc>
      </w:tr>
      <w:tr>
        <w:trPr>
          <w:cantSplit/>
        </w:trPr>
        <w:tc>
          <w:tcPr>
            <w:tcW w:type="dxa" w:w="1928"/>
            <w:vAlign w:val="center"/>
          </w:tcPr>
          <w:p>
            <w:pPr>
              <w:spacing w:after="80" w:before="60"/>
            </w:pPr>
            <w:r>
              <w:rPr>
                <w:sz w:val="19"/>
              </w:rPr>
              <w:t>lgbm</w:t>
            </w:r>
          </w:p>
        </w:tc>
        <w:tc>
          <w:tcPr>
            <w:tcW w:type="dxa" w:w="1928"/>
            <w:vAlign w:val="center"/>
          </w:tcPr>
          <w:p>
            <w:pPr>
              <w:spacing w:after="80" w:before="60"/>
            </w:pPr>
            <w:r>
              <w:rPr>
                <w:sz w:val="19"/>
              </w:rPr>
              <w:t>2</w:t>
            </w:r>
          </w:p>
        </w:tc>
        <w:tc>
          <w:tcPr>
            <w:tcW w:type="dxa" w:w="1928"/>
            <w:vAlign w:val="center"/>
          </w:tcPr>
          <w:p>
            <w:pPr>
              <w:spacing w:after="80" w:before="60"/>
            </w:pPr>
            <w:r>
              <w:rPr>
                <w:sz w:val="19"/>
              </w:rPr>
              <w:t>BSS16</w:t>
            </w:r>
          </w:p>
        </w:tc>
        <w:tc>
          <w:tcPr>
            <w:tcW w:type="dxa" w:w="1928"/>
            <w:vAlign w:val="center"/>
          </w:tcPr>
          <w:p>
            <w:pPr>
              <w:spacing w:after="80" w:before="60"/>
            </w:pPr>
            <w:r>
              <w:rPr>
                <w:sz w:val="19"/>
              </w:rPr>
              <w:t>0.058</w:t>
            </w:r>
          </w:p>
        </w:tc>
        <w:tc>
          <w:tcPr>
            <w:tcW w:type="dxa" w:w="1928"/>
            <w:vAlign w:val="center"/>
          </w:tcPr>
          <w:p>
            <w:pPr>
              <w:spacing w:after="80" w:before="60"/>
            </w:pPr>
            <w:r>
              <w:rPr>
                <w:sz w:val="19"/>
              </w:rPr>
              <w:t>[0.003; 0.112]</w:t>
            </w:r>
          </w:p>
        </w:tc>
      </w:tr>
      <w:tr>
        <w:trPr>
          <w:cantSplit/>
        </w:trPr>
        <w:tc>
          <w:tcPr>
            <w:tcW w:type="dxa" w:w="1928"/>
            <w:vAlign w:val="center"/>
          </w:tcPr>
          <w:p>
            <w:pPr>
              <w:spacing w:after="80" w:before="60"/>
            </w:pPr>
            <w:r>
              <w:rPr>
                <w:sz w:val="19"/>
              </w:rPr>
              <w:t>lgbm</w:t>
            </w:r>
          </w:p>
        </w:tc>
        <w:tc>
          <w:tcPr>
            <w:tcW w:type="dxa" w:w="1928"/>
            <w:vAlign w:val="center"/>
          </w:tcPr>
          <w:p>
            <w:pPr>
              <w:spacing w:after="80" w:before="60"/>
            </w:pPr>
            <w:r>
              <w:rPr>
                <w:sz w:val="19"/>
              </w:rPr>
              <w:t>3</w:t>
            </w:r>
          </w:p>
        </w:tc>
        <w:tc>
          <w:tcPr>
            <w:tcW w:type="dxa" w:w="1928"/>
            <w:vAlign w:val="center"/>
          </w:tcPr>
          <w:p>
            <w:pPr>
              <w:spacing w:after="80" w:before="60"/>
            </w:pPr>
            <w:r>
              <w:rPr>
                <w:sz w:val="19"/>
              </w:rPr>
              <w:t>RMSE</w:t>
            </w:r>
          </w:p>
        </w:tc>
        <w:tc>
          <w:tcPr>
            <w:tcW w:type="dxa" w:w="1928"/>
            <w:vAlign w:val="center"/>
          </w:tcPr>
          <w:p>
            <w:pPr>
              <w:spacing w:after="80" w:before="60"/>
            </w:pPr>
            <w:r>
              <w:rPr>
                <w:sz w:val="19"/>
              </w:rPr>
              <w:t>0.105</w:t>
            </w:r>
          </w:p>
        </w:tc>
        <w:tc>
          <w:tcPr>
            <w:tcW w:type="dxa" w:w="1928"/>
            <w:vAlign w:val="center"/>
          </w:tcPr>
          <w:p>
            <w:pPr>
              <w:spacing w:after="80" w:before="60"/>
            </w:pPr>
            <w:r>
              <w:rPr>
                <w:sz w:val="19"/>
              </w:rPr>
              <w:t>[-0.072; 0.273]</w:t>
            </w:r>
          </w:p>
        </w:tc>
      </w:tr>
      <w:tr>
        <w:trPr>
          <w:cantSplit/>
        </w:trPr>
        <w:tc>
          <w:tcPr>
            <w:tcW w:type="dxa" w:w="1928"/>
            <w:vAlign w:val="center"/>
          </w:tcPr>
          <w:p>
            <w:pPr>
              <w:spacing w:after="80" w:before="60"/>
            </w:pPr>
            <w:r>
              <w:rPr>
                <w:sz w:val="19"/>
              </w:rPr>
              <w:t>lgbm</w:t>
            </w:r>
          </w:p>
        </w:tc>
        <w:tc>
          <w:tcPr>
            <w:tcW w:type="dxa" w:w="1928"/>
            <w:vAlign w:val="center"/>
          </w:tcPr>
          <w:p>
            <w:pPr>
              <w:spacing w:after="80" w:before="60"/>
            </w:pPr>
            <w:r>
              <w:rPr>
                <w:sz w:val="19"/>
              </w:rPr>
              <w:t>3</w:t>
            </w:r>
          </w:p>
        </w:tc>
        <w:tc>
          <w:tcPr>
            <w:tcW w:type="dxa" w:w="1928"/>
            <w:vAlign w:val="center"/>
          </w:tcPr>
          <w:p>
            <w:pPr>
              <w:spacing w:after="80" w:before="60"/>
            </w:pPr>
            <w:r>
              <w:rPr>
                <w:sz w:val="19"/>
              </w:rPr>
              <w:t>BSS16</w:t>
            </w:r>
          </w:p>
        </w:tc>
        <w:tc>
          <w:tcPr>
            <w:tcW w:type="dxa" w:w="1928"/>
            <w:vAlign w:val="center"/>
          </w:tcPr>
          <w:p>
            <w:pPr>
              <w:spacing w:after="80" w:before="60"/>
            </w:pPr>
            <w:r>
              <w:rPr>
                <w:sz w:val="19"/>
              </w:rPr>
              <w:t>-0.022</w:t>
            </w:r>
          </w:p>
        </w:tc>
        <w:tc>
          <w:tcPr>
            <w:tcW w:type="dxa" w:w="1928"/>
            <w:vAlign w:val="center"/>
          </w:tcPr>
          <w:p>
            <w:pPr>
              <w:spacing w:after="80" w:before="60"/>
            </w:pPr>
            <w:r>
              <w:rPr>
                <w:sz w:val="19"/>
              </w:rPr>
              <w:t>[-0.066; 0.024]</w:t>
            </w:r>
          </w:p>
        </w:tc>
      </w:tr>
      <w:tr>
        <w:trPr>
          <w:cantSplit/>
        </w:trPr>
        <w:tc>
          <w:tcPr>
            <w:tcW w:type="dxa" w:w="1928"/>
            <w:vAlign w:val="center"/>
          </w:tcPr>
          <w:p>
            <w:pPr>
              <w:spacing w:after="80" w:before="60"/>
            </w:pPr>
            <w:r>
              <w:rPr>
                <w:sz w:val="19"/>
              </w:rPr>
              <w:t>tft</w:t>
            </w:r>
          </w:p>
        </w:tc>
        <w:tc>
          <w:tcPr>
            <w:tcW w:type="dxa" w:w="1928"/>
            <w:vAlign w:val="center"/>
          </w:tcPr>
          <w:p>
            <w:pPr>
              <w:spacing w:after="80" w:before="60"/>
            </w:pPr>
            <w:r>
              <w:rPr>
                <w:sz w:val="19"/>
              </w:rPr>
              <w:t>1</w:t>
            </w:r>
          </w:p>
        </w:tc>
        <w:tc>
          <w:tcPr>
            <w:tcW w:type="dxa" w:w="1928"/>
            <w:vAlign w:val="center"/>
          </w:tcPr>
          <w:p>
            <w:pPr>
              <w:spacing w:after="80" w:before="60"/>
            </w:pPr>
            <w:r>
              <w:rPr>
                <w:sz w:val="19"/>
              </w:rPr>
              <w:t>RMSE</w:t>
            </w:r>
          </w:p>
        </w:tc>
        <w:tc>
          <w:tcPr>
            <w:tcW w:type="dxa" w:w="1928"/>
            <w:vAlign w:val="center"/>
          </w:tcPr>
          <w:p>
            <w:pPr>
              <w:spacing w:after="80" w:before="60"/>
            </w:pPr>
            <w:r>
              <w:rPr>
                <w:sz w:val="19"/>
              </w:rPr>
              <w:t>-0.202</w:t>
            </w:r>
          </w:p>
        </w:tc>
        <w:tc>
          <w:tcPr>
            <w:tcW w:type="dxa" w:w="1928"/>
            <w:vAlign w:val="center"/>
          </w:tcPr>
          <w:p>
            <w:pPr>
              <w:spacing w:after="80" w:before="60"/>
            </w:pPr>
            <w:r>
              <w:rPr>
                <w:sz w:val="19"/>
              </w:rPr>
              <w:t>[-0.456; -0.007]</w:t>
            </w:r>
          </w:p>
        </w:tc>
      </w:tr>
      <w:tr>
        <w:trPr>
          <w:cantSplit/>
        </w:trPr>
        <w:tc>
          <w:tcPr>
            <w:tcW w:type="dxa" w:w="1928"/>
            <w:vAlign w:val="center"/>
          </w:tcPr>
          <w:p>
            <w:pPr>
              <w:spacing w:after="80" w:before="60"/>
            </w:pPr>
            <w:r>
              <w:rPr>
                <w:sz w:val="19"/>
              </w:rPr>
              <w:t>tft</w:t>
            </w:r>
          </w:p>
        </w:tc>
        <w:tc>
          <w:tcPr>
            <w:tcW w:type="dxa" w:w="1928"/>
            <w:vAlign w:val="center"/>
          </w:tcPr>
          <w:p>
            <w:pPr>
              <w:spacing w:after="80" w:before="60"/>
            </w:pPr>
            <w:r>
              <w:rPr>
                <w:sz w:val="19"/>
              </w:rPr>
              <w:t>1</w:t>
            </w:r>
          </w:p>
        </w:tc>
        <w:tc>
          <w:tcPr>
            <w:tcW w:type="dxa" w:w="1928"/>
            <w:vAlign w:val="center"/>
          </w:tcPr>
          <w:p>
            <w:pPr>
              <w:spacing w:after="80" w:before="60"/>
            </w:pPr>
            <w:r>
              <w:rPr>
                <w:sz w:val="19"/>
              </w:rPr>
              <w:t>BSS16</w:t>
            </w:r>
          </w:p>
        </w:tc>
        <w:tc>
          <w:tcPr>
            <w:tcW w:type="dxa" w:w="1928"/>
            <w:vAlign w:val="center"/>
          </w:tcPr>
          <w:p>
            <w:pPr>
              <w:spacing w:after="80" w:before="60"/>
            </w:pPr>
            <w:r>
              <w:rPr>
                <w:sz w:val="19"/>
              </w:rPr>
              <w:t>0.088</w:t>
            </w:r>
          </w:p>
        </w:tc>
        <w:tc>
          <w:tcPr>
            <w:tcW w:type="dxa" w:w="1928"/>
            <w:vAlign w:val="center"/>
          </w:tcPr>
          <w:p>
            <w:pPr>
              <w:spacing w:after="80" w:before="60"/>
            </w:pPr>
            <w:r>
              <w:rPr>
                <w:sz w:val="19"/>
              </w:rPr>
              <w:t>[0.023; 0.156]</w:t>
            </w:r>
          </w:p>
        </w:tc>
      </w:tr>
      <w:tr>
        <w:trPr>
          <w:cantSplit/>
        </w:trPr>
        <w:tc>
          <w:tcPr>
            <w:tcW w:type="dxa" w:w="1928"/>
            <w:vAlign w:val="center"/>
          </w:tcPr>
          <w:p>
            <w:pPr>
              <w:spacing w:after="80" w:before="60"/>
            </w:pPr>
            <w:r>
              <w:rPr>
                <w:sz w:val="19"/>
              </w:rPr>
              <w:t>tft</w:t>
            </w:r>
          </w:p>
        </w:tc>
        <w:tc>
          <w:tcPr>
            <w:tcW w:type="dxa" w:w="1928"/>
            <w:vAlign w:val="center"/>
          </w:tcPr>
          <w:p>
            <w:pPr>
              <w:spacing w:after="80" w:before="60"/>
            </w:pPr>
            <w:r>
              <w:rPr>
                <w:sz w:val="19"/>
              </w:rPr>
              <w:t>2</w:t>
            </w:r>
          </w:p>
        </w:tc>
        <w:tc>
          <w:tcPr>
            <w:tcW w:type="dxa" w:w="1928"/>
            <w:vAlign w:val="center"/>
          </w:tcPr>
          <w:p>
            <w:pPr>
              <w:spacing w:after="80" w:before="60"/>
            </w:pPr>
            <w:r>
              <w:rPr>
                <w:sz w:val="19"/>
              </w:rPr>
              <w:t>RMSE</w:t>
            </w:r>
          </w:p>
        </w:tc>
        <w:tc>
          <w:tcPr>
            <w:tcW w:type="dxa" w:w="1928"/>
            <w:vAlign w:val="center"/>
          </w:tcPr>
          <w:p>
            <w:pPr>
              <w:spacing w:after="80" w:before="60"/>
            </w:pPr>
            <w:r>
              <w:rPr>
                <w:sz w:val="19"/>
              </w:rPr>
              <w:t>0.037</w:t>
            </w:r>
          </w:p>
        </w:tc>
        <w:tc>
          <w:tcPr>
            <w:tcW w:type="dxa" w:w="1928"/>
            <w:vAlign w:val="center"/>
          </w:tcPr>
          <w:p>
            <w:pPr>
              <w:spacing w:after="80" w:before="60"/>
            </w:pPr>
            <w:r>
              <w:rPr>
                <w:sz w:val="19"/>
              </w:rPr>
              <w:t>[-0.156; 0.209]</w:t>
            </w:r>
          </w:p>
        </w:tc>
      </w:tr>
      <w:tr>
        <w:trPr>
          <w:cantSplit/>
        </w:trPr>
        <w:tc>
          <w:tcPr>
            <w:tcW w:type="dxa" w:w="1928"/>
            <w:vAlign w:val="center"/>
          </w:tcPr>
          <w:p>
            <w:pPr>
              <w:spacing w:after="80" w:before="60"/>
            </w:pPr>
            <w:r>
              <w:rPr>
                <w:sz w:val="19"/>
              </w:rPr>
              <w:t>tft</w:t>
            </w:r>
          </w:p>
        </w:tc>
        <w:tc>
          <w:tcPr>
            <w:tcW w:type="dxa" w:w="1928"/>
            <w:vAlign w:val="center"/>
          </w:tcPr>
          <w:p>
            <w:pPr>
              <w:spacing w:after="80" w:before="60"/>
            </w:pPr>
            <w:r>
              <w:rPr>
                <w:sz w:val="19"/>
              </w:rPr>
              <w:t>2</w:t>
            </w:r>
          </w:p>
        </w:tc>
        <w:tc>
          <w:tcPr>
            <w:tcW w:type="dxa" w:w="1928"/>
            <w:vAlign w:val="center"/>
          </w:tcPr>
          <w:p>
            <w:pPr>
              <w:spacing w:after="80" w:before="60"/>
            </w:pPr>
            <w:r>
              <w:rPr>
                <w:sz w:val="19"/>
              </w:rPr>
              <w:t>BSS16</w:t>
            </w:r>
          </w:p>
        </w:tc>
        <w:tc>
          <w:tcPr>
            <w:tcW w:type="dxa" w:w="1928"/>
            <w:vAlign w:val="center"/>
          </w:tcPr>
          <w:p>
            <w:pPr>
              <w:spacing w:after="80" w:before="60"/>
            </w:pPr>
            <w:r>
              <w:rPr>
                <w:sz w:val="19"/>
              </w:rPr>
              <w:t>-0.012</w:t>
            </w:r>
          </w:p>
        </w:tc>
        <w:tc>
          <w:tcPr>
            <w:tcW w:type="dxa" w:w="1928"/>
            <w:vAlign w:val="center"/>
          </w:tcPr>
          <w:p>
            <w:pPr>
              <w:spacing w:after="80" w:before="60"/>
            </w:pPr>
            <w:r>
              <w:rPr>
                <w:sz w:val="19"/>
              </w:rPr>
              <w:t>[-0.063; 0.035]</w:t>
            </w:r>
          </w:p>
        </w:tc>
      </w:tr>
      <w:tr>
        <w:trPr>
          <w:cantSplit/>
        </w:trPr>
        <w:tc>
          <w:tcPr>
            <w:tcW w:type="dxa" w:w="1928"/>
            <w:vAlign w:val="center"/>
          </w:tcPr>
          <w:p>
            <w:pPr>
              <w:spacing w:after="80" w:before="60"/>
            </w:pPr>
            <w:r>
              <w:rPr>
                <w:sz w:val="19"/>
              </w:rPr>
              <w:t>tft</w:t>
            </w:r>
          </w:p>
        </w:tc>
        <w:tc>
          <w:tcPr>
            <w:tcW w:type="dxa" w:w="1928"/>
            <w:vAlign w:val="center"/>
          </w:tcPr>
          <w:p>
            <w:pPr>
              <w:spacing w:after="80" w:before="60"/>
            </w:pPr>
            <w:r>
              <w:rPr>
                <w:sz w:val="19"/>
              </w:rPr>
              <w:t>3</w:t>
            </w:r>
          </w:p>
        </w:tc>
        <w:tc>
          <w:tcPr>
            <w:tcW w:type="dxa" w:w="1928"/>
            <w:vAlign w:val="center"/>
          </w:tcPr>
          <w:p>
            <w:pPr>
              <w:spacing w:after="80" w:before="60"/>
            </w:pPr>
            <w:r>
              <w:rPr>
                <w:sz w:val="19"/>
              </w:rPr>
              <w:t>RMSE</w:t>
            </w:r>
          </w:p>
        </w:tc>
        <w:tc>
          <w:tcPr>
            <w:tcW w:type="dxa" w:w="1928"/>
            <w:vAlign w:val="center"/>
          </w:tcPr>
          <w:p>
            <w:pPr>
              <w:spacing w:after="80" w:before="60"/>
            </w:pPr>
            <w:r>
              <w:rPr>
                <w:sz w:val="19"/>
              </w:rPr>
              <w:t>0.107</w:t>
            </w:r>
          </w:p>
        </w:tc>
        <w:tc>
          <w:tcPr>
            <w:tcW w:type="dxa" w:w="1928"/>
            <w:vAlign w:val="center"/>
          </w:tcPr>
          <w:p>
            <w:pPr>
              <w:spacing w:after="80" w:before="60"/>
            </w:pPr>
            <w:r>
              <w:rPr>
                <w:sz w:val="19"/>
              </w:rPr>
              <w:t>[-0.160; 0.352]</w:t>
            </w:r>
          </w:p>
        </w:tc>
      </w:tr>
      <w:tr>
        <w:trPr>
          <w:cantSplit/>
        </w:trPr>
        <w:tc>
          <w:tcPr>
            <w:tcW w:type="dxa" w:w="1928"/>
            <w:vAlign w:val="center"/>
          </w:tcPr>
          <w:p>
            <w:pPr>
              <w:spacing w:after="80" w:before="60"/>
            </w:pPr>
            <w:r>
              <w:rPr>
                <w:sz w:val="19"/>
              </w:rPr>
              <w:t>tft</w:t>
            </w:r>
          </w:p>
        </w:tc>
        <w:tc>
          <w:tcPr>
            <w:tcW w:type="dxa" w:w="1928"/>
            <w:vAlign w:val="center"/>
          </w:tcPr>
          <w:p>
            <w:pPr>
              <w:spacing w:after="80" w:before="60"/>
            </w:pPr>
            <w:r>
              <w:rPr>
                <w:sz w:val="19"/>
              </w:rPr>
              <w:t>3</w:t>
            </w:r>
          </w:p>
        </w:tc>
        <w:tc>
          <w:tcPr>
            <w:tcW w:type="dxa" w:w="1928"/>
            <w:vAlign w:val="center"/>
          </w:tcPr>
          <w:p>
            <w:pPr>
              <w:spacing w:after="80" w:before="60"/>
            </w:pPr>
            <w:r>
              <w:rPr>
                <w:sz w:val="19"/>
              </w:rPr>
              <w:t>BSS16</w:t>
            </w:r>
          </w:p>
        </w:tc>
        <w:tc>
          <w:tcPr>
            <w:tcW w:type="dxa" w:w="1928"/>
            <w:vAlign w:val="center"/>
          </w:tcPr>
          <w:p>
            <w:pPr>
              <w:spacing w:after="80" w:before="60"/>
            </w:pPr>
            <w:r>
              <w:rPr>
                <w:sz w:val="19"/>
              </w:rPr>
              <w:t>-0.018</w:t>
            </w:r>
          </w:p>
        </w:tc>
        <w:tc>
          <w:tcPr>
            <w:tcW w:type="dxa" w:w="1928"/>
            <w:vAlign w:val="center"/>
          </w:tcPr>
          <w:p>
            <w:pPr>
              <w:spacing w:after="80" w:before="60"/>
            </w:pPr>
            <w:r>
              <w:rPr>
                <w:sz w:val="19"/>
              </w:rPr>
              <w:t>[-0.062; 0.025]</w:t>
            </w:r>
          </w:p>
        </w:tc>
      </w:tr>
    </w:tbl>
    <w:p>
      <w:pPr>
        <w:spacing w:after="20"/>
      </w:pPr>
    </w:p>
    <w:p>
      <w:pPr>
        <w:pStyle w:val="ListBullet"/>
      </w:pPr>
      <w:r>
        <w:t>LightGBM, ngày 1: ΔBSS16=+0.160, CI95%[+0.101;+0.223], CI nằm trên0; thăm dò, chưa hiệu chỉnh đa so sánh.</w:t>
      </w:r>
    </w:p>
    <w:p>
      <w:pPr>
        <w:pStyle w:val="ListBullet"/>
      </w:pPr>
      <w:r>
        <w:t>LightGBM, ngày 2: ΔBSS16=+0.058, CI95%[+0.003;+0.112], CI nằm trên0; thăm dò, chưa hiệu chỉnh đa so sánh.</w:t>
      </w:r>
    </w:p>
    <w:p>
      <w:pPr>
        <w:pStyle w:val="ListBullet"/>
      </w:pPr>
      <w:r>
        <w:t>LightGBM, ngày 3: ΔBSS16=-0.022, CI95%[-0.066;+0.024], CI chứa0; thăm dò, chưa hiệu chỉnh đa so sánh.</w:t>
      </w:r>
    </w:p>
    <w:p>
      <w:pPr>
        <w:pStyle w:val="ListBullet"/>
      </w:pPr>
      <w:r>
        <w:t>TFT, ngày 1: ΔBSS16=+0.088, CI95%[+0.023;+0.156], CI nằm trên0; thăm dò, chưa hiệu chỉnh đa so sánh.</w:t>
      </w:r>
    </w:p>
    <w:p>
      <w:pPr>
        <w:pStyle w:val="ListBullet"/>
      </w:pPr>
      <w:r>
        <w:t>TFT, ngày 2: ΔBSS16=-0.012, CI95%[-0.063;+0.035], CI chứa0; thăm dò, chưa hiệu chỉnh đa so sánh.</w:t>
      </w:r>
    </w:p>
    <w:p>
      <w:pPr>
        <w:pStyle w:val="ListBullet"/>
      </w:pPr>
      <w:r>
        <w:t>TFT, ngày 3: ΔBSS16=-0.018, CI95%[-0.062;+0.025], CI chứa0; thăm dò, chưa hiệu chỉnh đa so sánh.</w:t>
      </w:r>
    </w:p>
    <w:p>
      <w:r>
        <w:t>ΔRMSE âm có lợi; ΔBSS dương có lợi. Các CI là pairedbootstrapkhối 7 ngày,2000 lần, gộp theo năm nhưng resample trong từng năm, một seed cố định; có độ nhạy14 ngày trong paired_bootstrap.csv. Reference khí hậu được resample cùng obs/pred. Chưa có hiệu chỉnh đa so sánh hoặc bất định do seed, không dùng bảng này như kiểm định xác nhận của ma trận E0–E7 đầy đủ.</w:t>
      </w:r>
    </w:p>
    <w:p>
      <w:r>
        <w:t>Ngày 1 có tín hiệu giá trị từ lịch sử/đặc trưng thêm; ở ngày 3 cả hai E7 có BSS âm. TFT chưa tốt hơn LightGBM về cả lượng mm và xác suất. Không suy nguyên nhân duy nhất là kiến trúc hay thiếu forecast; cần thêm phép so có kiểm soát. E0/E7 chỉ đo tổng thể thêm A+M+C, chưa phân biệt nhóm nào tạo lợi ích.</w:t>
      </w:r>
    </w:p>
    <w:p>
      <w:pPr>
        <w:pStyle w:val="Heading1"/>
      </w:pPr>
      <w:r>
        <w:t>5. Hình để trình bày</w:t>
      </w:r>
    </w:p>
    <w:p>
      <w:pPr>
        <w:pStyle w:val="ListBullet"/>
      </w:pPr>
      <w:r>
        <w:t>rmse_by_year.png: tất cả ba năm và ba lead, có khí hậu/luôn0.</w:t>
      </w:r>
    </w:p>
    <w:p>
      <w:pPr>
        <w:pStyle w:val="ListBullet"/>
      </w:pPr>
      <w:r>
        <w:t>bss_by_year.png: kỹ năng xác suất riêng theo năm, không chỉ đọc số gộp.</w:t>
      </w:r>
    </w:p>
    <w:p>
      <w:pPr>
        <w:pStyle w:val="ListBullet"/>
      </w:pPr>
      <w:r>
        <w:t>feature_effect_ci.png: hiệu số E7−E0 và CI.</w:t>
      </w:r>
    </w:p>
    <w:p>
      <w:pPr>
        <w:pStyle w:val="ListBullet"/>
      </w:pPr>
      <w:r>
        <w:t>reliability16.png, reliability16.csv: độ hiệu chỉnh và số mẫu từng bin.</w:t>
      </w:r>
    </w:p>
    <w:p>
      <w:pPr>
        <w:pStyle w:val="ListBullet"/>
      </w:pPr>
      <w:r>
        <w:t>fixed_example_2023.png: ví dụ ngày 1 cố định issue tháng10–11/2023, không chọn đoạn theo lỗi nhỏ.</w:t>
      </w:r>
    </w:p>
    <w:p>
      <w:pPr>
        <w:pStyle w:val="Heading1"/>
      </w:pPr>
      <w:r>
        <w:t>6. Kiểm tra kỹ thuật và thời gian đo</w:t>
      </w:r>
    </w:p>
    <w:p>
      <w:r>
        <w:t>Tổng chạy pipeline mô hình khoảng186.8giây; tổng thời gian6 lượtTFT gồm calibration/save khoảng148.1giây. EpochTFT median1.40giây, khoảng[1.06;2.16]giây; peak memory allocated PyTorch cao nhất177MiB, không phải tổngVRAM của hệ thống. GPU làNVIDIA GeForce RTX 4060 Laptop GPU.</w:t>
      </w:r>
    </w:p>
    <w:p>
      <w:r>
        <w:t>Dự toán8–30giờGPU trước pilot là dự phòng khi chưa có benchmark. Số đo hiện tại cho thấy chuỗi vùng nhỏ chạy nhanh hơn nhiều; ma trận đầy đủ cần cập nhật bằng số run/epoch thực tế, không tiếp tục coi8–30giờ là số đã đo. Thời gian viết code, kiểm tra dữ liệu, ranh, kiểm chứng nhãn và viết nghiên cứu không nằm trong thời gian huấn luyện vài phút này.</w:t>
      </w:r>
    </w:p>
    <w:p>
      <w:r>
        <w:t>Checkpointaudit:12/12 lượt tái lập trên thiết bị gốc. CPU/GPU có sai khác số học nhỏ, max lượng mưa0.003456mm/24 h, ghi riêng trong audit; không trộn làm kết quả huấn luyện khác. Cấu hình, codeSHA256, sourceSHA256, calibration và bestepoch được lưu. Nguồn2.233/2.233 đãverify trong lượt lập kế hoạch ngày 21/10; không phải kiểm chứng độc lập nhãn mưa.</w:t>
      </w:r>
    </w:p>
    <w:p>
      <w:pPr>
        <w:pStyle w:val="Heading1"/>
      </w:pPr>
      <w:r>
        <w:t>7. Những điều chưa được chứng minh</w:t>
      </w:r>
    </w:p>
    <w:p>
      <w:pPr>
        <w:pStyle w:val="ListBullet"/>
      </w:pPr>
      <w:r>
        <w:t>Ranh93 ô xấp xỉ chưa bảo đảm trung bình toàn địa giới; nhãn vệ tinh chưa có kiểm chứng vùng độc lập đầy đủ. Không đồng nhất “pipeline chạy đúng” với “mưa thật chính xác”.</w:t>
      </w:r>
    </w:p>
    <w:p>
      <w:pPr>
        <w:pStyle w:val="ListBullet"/>
      </w:pPr>
      <w:r>
        <w:t>Một seed 42; chưa có ma trận E0–E7, chưa đánh giá độ ổn định tối ưu hóa, chưa mở test 2025.2021–2023 là development đã được dự án xem nhiều lần.</w:t>
      </w:r>
    </w:p>
    <w:p>
      <w:pPr>
        <w:pStyle w:val="ListBullet"/>
      </w:pPr>
      <w:r>
        <w:t>Chỉ có4–6ngày≥100mm mỗi năm evaluation; không khẳng định dự báo cực đoan tốt từ bảng nhỏ.</w:t>
      </w:r>
    </w:p>
    <w:p>
      <w:pPr>
        <w:pStyle w:val="ListBullet"/>
      </w:pPr>
      <w:r>
        <w:t>ERA5 hồi cứu không có bảo đảm sẵn tại issue; không phải kết quả vận hành/live, không có forecast ECMWF thật trong đầu vào.</w:t>
      </w:r>
    </w:p>
    <w:p>
      <w:pPr>
        <w:pStyle w:val="ListBullet"/>
      </w:pPr>
      <w:r>
        <w:t>Biến chọn/attention chỉ giúp diễn giải mô hình, không chứng minh quan hệ nhân quả khí tượng.</w:t>
      </w:r>
    </w:p>
    <w:p>
      <w:pPr>
        <w:pStyle w:val="ListBullet"/>
      </w:pPr>
      <w:r>
        <w:t>Bi-LSTM nhánh6 h dùng lịch sử24 h, nhánh ngày này dùng lịch sử168 h. Không quy khác biệt giữa hai nhánh chỉ cho hạn hoặc kiến trúc khi cửa sổ đầu vào chưa giống nhau.</w:t>
      </w:r>
    </w:p>
    <w:p>
      <w:pPr>
        <w:pStyle w:val="ListBullet"/>
      </w:pPr>
      <w:r>
        <w:t>TFT nhận chuỗi còn LightGBM nhận thống kê lịch sử từ cùng nguyên liệu; loss/đầu ra là joint so với các đầu riêng. So sánh là giữa hai pipeline, chưa cô lập tuyệt đối tác dụng kiến trúc.</w:t>
      </w:r>
    </w:p>
    <w:p>
      <w:pPr>
        <w:pStyle w:val="Heading1"/>
      </w:pPr>
      <w:r>
        <w:t>8. Nội dung có thể nói trong báo cáo ngày mai</w:t>
      </w:r>
    </w:p>
    <w:p>
      <w:r>
        <w:t>“Nhóm đã thống nhất dự đoán vùng trực tiếp và triển khai pilot nhánh24–72 giờ. Từ7 ngày khí tượng quá khứ, mô hình dự đoán ba tổng mưa24giờ và xác suất sự kiện. Trên ba năm phát triển, ngày 1 có tín hiệu kỹ năng so khí hậu; ngày 3 còn yếu. TFT chưa thể hiện ưu thế rõ so với LightGBM. Kết quả hiện là pilot một seed trên footprint93 ô; bước tiếp theo là chốt ranh/kiểm chứng nhãn, chạy nhiều seed và tách đóng góp từng nhóm đặc trưng, giữ kín2025.”</w:t>
      </w:r>
    </w:p>
    <w:p>
      <w:pPr>
        <w:pStyle w:val="Heading1"/>
      </w:pPr>
      <w:r>
        <w:t>9. Việc tiếp theo</w:t>
      </w:r>
    </w:p>
    <w:p>
      <w:r>
        <w:t>Ưu tiên ranh/QC nhãn, xác nhận protocol đã duyệt, chạy ba seed và factorialE0–E7. Không điều chỉnh thiết kế để làm đẹp điểm2025. Chỉ sau khóa mới train 2015–2023/cal 2024/test 2025E0/E7. Forecastthật, Informer và V2 là nhánh riêng, không bắt buộc thêm để có báo cáo pilot.</w:t>
      </w:r>
    </w:p>
    <w:p>
      <w:r>
        <w:t>Artifact: scores.csv, scores_pooled.csv, paired_bootstrap.csv, reliability16.csv, checkpoint_audit.json, run.json; checkpoint/dự báo từng dòng giữ ngoàiGit tại data/operational/short_range/pilot_2026_10_21. Code: short_range_dataset, tft_regional, short_range_evaluation và các scriptpilot/audit/evaluate/report. Kiến trúc tham khảo bàiTFT https://arxiv.org/abs/1912.09363; bản này điều chỉnh bỏ static context, giữVSN/GRN/LSTM/attention dùng chung value/gating, thay đầu phân vị bằngđầu ngày Tweedie/BCE. Chưa phải tái lập mọi benchmark của bài gốc.</w:t>
      </w:r>
    </w:p>
    <w:p>
      <w:r>
        <w:br w:type="page"/>
      </w:r>
    </w:p>
    <w:p>
      <w:pPr>
        <w:pStyle w:val="Heading1"/>
      </w:pPr>
      <w:r>
        <w:t>Hình kết quả pilot</w:t>
      </w:r>
    </w:p>
    <w:p>
      <w:r>
        <w:drawing>
          <wp:inline xmlns:a="http://schemas.openxmlformats.org/drawingml/2006/main" xmlns:pic="http://schemas.openxmlformats.org/drawingml/2006/picture">
            <wp:extent cx="6080760" cy="1863459"/>
            <wp:docPr id="1" name="Picture 1"/>
            <wp:cNvGraphicFramePr>
              <a:graphicFrameLocks noChangeAspect="1"/>
            </wp:cNvGraphicFramePr>
            <a:graphic>
              <a:graphicData uri="http://schemas.openxmlformats.org/drawingml/2006/picture">
                <pic:pic>
                  <pic:nvPicPr>
                    <pic:cNvPr id="0" name="rmse_by_year.png"/>
                    <pic:cNvPicPr/>
                  </pic:nvPicPr>
                  <pic:blipFill>
                    <a:blip r:embed="rId11"/>
                    <a:stretch>
                      <a:fillRect/>
                    </a:stretch>
                  </pic:blipFill>
                  <pic:spPr>
                    <a:xfrm>
                      <a:off x="0" y="0"/>
                      <a:ext cx="6080760" cy="1863459"/>
                    </a:xfrm>
                    <a:prstGeom prst="rect"/>
                  </pic:spPr>
                </pic:pic>
              </a:graphicData>
            </a:graphic>
          </wp:inline>
        </w:drawing>
      </w:r>
    </w:p>
    <w:p>
      <w:r>
        <w:t>rmse_by_year.png</w:t>
      </w:r>
    </w:p>
    <w:p>
      <w:r>
        <w:drawing>
          <wp:inline xmlns:a="http://schemas.openxmlformats.org/drawingml/2006/main" xmlns:pic="http://schemas.openxmlformats.org/drawingml/2006/picture">
            <wp:extent cx="6080760" cy="1863459"/>
            <wp:docPr id="2" name="Picture 2"/>
            <wp:cNvGraphicFramePr>
              <a:graphicFrameLocks noChangeAspect="1"/>
            </wp:cNvGraphicFramePr>
            <a:graphic>
              <a:graphicData uri="http://schemas.openxmlformats.org/drawingml/2006/picture">
                <pic:pic>
                  <pic:nvPicPr>
                    <pic:cNvPr id="0" name="bss_by_year.png"/>
                    <pic:cNvPicPr/>
                  </pic:nvPicPr>
                  <pic:blipFill>
                    <a:blip r:embed="rId12"/>
                    <a:stretch>
                      <a:fillRect/>
                    </a:stretch>
                  </pic:blipFill>
                  <pic:spPr>
                    <a:xfrm>
                      <a:off x="0" y="0"/>
                      <a:ext cx="6080760" cy="1863459"/>
                    </a:xfrm>
                    <a:prstGeom prst="rect"/>
                  </pic:spPr>
                </pic:pic>
              </a:graphicData>
            </a:graphic>
          </wp:inline>
        </w:drawing>
      </w:r>
    </w:p>
    <w:p>
      <w:r>
        <w:t>bss_by_year.png</w:t>
      </w:r>
    </w:p>
    <w:p>
      <w:r>
        <w:drawing>
          <wp:inline xmlns:a="http://schemas.openxmlformats.org/drawingml/2006/main" xmlns:pic="http://schemas.openxmlformats.org/drawingml/2006/picture">
            <wp:extent cx="6080760" cy="1912497"/>
            <wp:docPr id="3" name="Picture 3"/>
            <wp:cNvGraphicFramePr>
              <a:graphicFrameLocks noChangeAspect="1"/>
            </wp:cNvGraphicFramePr>
            <a:graphic>
              <a:graphicData uri="http://schemas.openxmlformats.org/drawingml/2006/picture">
                <pic:pic>
                  <pic:nvPicPr>
                    <pic:cNvPr id="0" name="feature_effect_ci.png"/>
                    <pic:cNvPicPr/>
                  </pic:nvPicPr>
                  <pic:blipFill>
                    <a:blip r:embed="rId13"/>
                    <a:stretch>
                      <a:fillRect/>
                    </a:stretch>
                  </pic:blipFill>
                  <pic:spPr>
                    <a:xfrm>
                      <a:off x="0" y="0"/>
                      <a:ext cx="6080760" cy="1912497"/>
                    </a:xfrm>
                    <a:prstGeom prst="rect"/>
                  </pic:spPr>
                </pic:pic>
              </a:graphicData>
            </a:graphic>
          </wp:inline>
        </w:drawing>
      </w:r>
    </w:p>
    <w:p>
      <w:r>
        <w:t>feature_effect_ci.png</w:t>
      </w:r>
    </w:p>
    <w:p>
      <w:r>
        <w:drawing>
          <wp:inline xmlns:a="http://schemas.openxmlformats.org/drawingml/2006/main" xmlns:pic="http://schemas.openxmlformats.org/drawingml/2006/picture">
            <wp:extent cx="6080760" cy="1814420"/>
            <wp:docPr id="4" name="Picture 4"/>
            <wp:cNvGraphicFramePr>
              <a:graphicFrameLocks noChangeAspect="1"/>
            </wp:cNvGraphicFramePr>
            <a:graphic>
              <a:graphicData uri="http://schemas.openxmlformats.org/drawingml/2006/picture">
                <pic:pic>
                  <pic:nvPicPr>
                    <pic:cNvPr id="0" name="reliability16.png"/>
                    <pic:cNvPicPr/>
                  </pic:nvPicPr>
                  <pic:blipFill>
                    <a:blip r:embed="rId14"/>
                    <a:stretch>
                      <a:fillRect/>
                    </a:stretch>
                  </pic:blipFill>
                  <pic:spPr>
                    <a:xfrm>
                      <a:off x="0" y="0"/>
                      <a:ext cx="6080760" cy="1814420"/>
                    </a:xfrm>
                    <a:prstGeom prst="rect"/>
                  </pic:spPr>
                </pic:pic>
              </a:graphicData>
            </a:graphic>
          </wp:inline>
        </w:drawing>
      </w:r>
    </w:p>
    <w:p>
      <w:r>
        <w:t>reliability16.png</w:t>
      </w:r>
    </w:p>
    <w:p>
      <w:r>
        <w:drawing>
          <wp:inline xmlns:a="http://schemas.openxmlformats.org/drawingml/2006/main" xmlns:pic="http://schemas.openxmlformats.org/drawingml/2006/picture">
            <wp:extent cx="6080760" cy="1765382"/>
            <wp:docPr id="5" name="Picture 5"/>
            <wp:cNvGraphicFramePr>
              <a:graphicFrameLocks noChangeAspect="1"/>
            </wp:cNvGraphicFramePr>
            <a:graphic>
              <a:graphicData uri="http://schemas.openxmlformats.org/drawingml/2006/picture">
                <pic:pic>
                  <pic:nvPicPr>
                    <pic:cNvPr id="0" name="fixed_example_2023.png"/>
                    <pic:cNvPicPr/>
                  </pic:nvPicPr>
                  <pic:blipFill>
                    <a:blip r:embed="rId15"/>
                    <a:stretch>
                      <a:fillRect/>
                    </a:stretch>
                  </pic:blipFill>
                  <pic:spPr>
                    <a:xfrm>
                      <a:off x="0" y="0"/>
                      <a:ext cx="6080760" cy="1765382"/>
                    </a:xfrm>
                    <a:prstGeom prst="rect"/>
                  </pic:spPr>
                </pic:pic>
              </a:graphicData>
            </a:graphic>
          </wp:inline>
        </w:drawing>
      </w:r>
    </w:p>
    <w:p>
      <w:r>
        <w:t>fixed_example_2023.png</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PBL6 | PILOT TFT24–72GIỜ | SỐ LIỆU21/10/2026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heme="majorHAnsi" w:eastAsiaTheme="majorEastAsia" w:hAnsiTheme="majorHAnsi" w:cstheme="majorBidi" w:ascii="Arial" w:hAnsi="Arial"/>
      <w:b/>
      <w:bCs/>
      <w:color w:val="16465C"/>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16465C"/>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color w:val="1646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1646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pilot dự đoán mưa vùng24–72giờ</dc:title>
  <dc:subject>Hợp nhất phương án và quyết định theo sáu tiêu chí</dc:subject>
  <dc:creator>Nhóm PBL6</dc:creator>
  <cp:keywords/>
  <dc:description>generated by python-docx</dc:description>
  <cp:lastModifiedBy/>
  <cp:revision>1</cp:revision>
  <dcterms:created xsi:type="dcterms:W3CDTF">2013-12-23T23:15:00Z</dcterms:created>
  <dcterms:modified xsi:type="dcterms:W3CDTF">2013-12-23T23:15:00Z</dcterms:modified>
  <cp:category/>
</cp:coreProperties>
</file>