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0"/>
      </w:pPr>
      <w:r>
        <w:rPr>
          <w:rFonts w:ascii="Eurostile" w:cs="Eurostile" w:eastAsia="Eurostile" w:hAnsi="Eurostile"/>
          <w:b/>
          <w:bCs/>
          <w:color w:val="0F436E"/>
          <w:sz w:val="52"/>
          <w:szCs w:val="52"/>
        </w:rPr>
        <w:t xml:space="preserve">RULES OF ENGAGEMENT</w:t>
      </w:r>
    </w:p>
    <w:p>
      <w:pPr>
        <w:spacing w:after="160"/>
      </w:pPr>
      <w:r>
        <w:rPr>
          <w:rFonts w:ascii="Eurostile" w:cs="Eurostile" w:eastAsia="Eurostile" w:hAnsi="Eurostile"/>
          <w:color w:val="0F436E"/>
          <w:sz w:val="34"/>
          <w:szCs w:val="34"/>
        </w:rPr>
        <w:t xml:space="preserve">for Operational AI</w:t>
      </w:r>
    </w:p>
    <w:p>
      <w:pPr>
        <w:pBdr>
          <w:bottom w:val="single" w:color="9EB3C5" w:sz="12" w:space="8"/>
        </w:pBdr>
        <w:spacing w:after="200" w:line="300"/>
      </w:pPr>
      <w:r>
        <w:rPr>
          <w:rFonts w:ascii="Poppins" w:cs="Poppins" w:eastAsia="Poppins" w:hAnsi="Poppins"/>
          <w:color w:val="4A4A4A"/>
          <w:sz w:val="22"/>
          <w:szCs w:val="22"/>
        </w:rPr>
        <w:t xml:space="preserve">A standard for AI-assisted work that plans before it acts, verifies before it delivers, and shows the reader exactly which claims are proven.</w:t>
      </w:r>
    </w:p>
    <w:p>
      <w:pPr>
        <w:spacing w:after="360"/>
      </w:pPr>
      <w:r>
        <w:rPr>
          <w:rFonts w:ascii="Poppins" w:cs="Poppins" w:eastAsia="Poppins" w:hAnsi="Poppins"/>
          <w:b/>
          <w:bCs/>
          <w:color w:val="1A1A1A"/>
          <w:sz w:val="20"/>
          <w:szCs w:val="20"/>
        </w:rPr>
        <w:t xml:space="preserve">David Layson</w:t>
      </w:r>
      <w:r>
        <w:rPr>
          <w:rFonts w:ascii="Poppins" w:cs="Poppins" w:eastAsia="Poppins" w:hAnsi="Poppins"/>
          <w:color w:val="767676"/>
          <w:sz w:val="20"/>
          <w:szCs w:val="20"/>
        </w:rPr>
        <w:t xml:space="preserve">   |   Version 1.0   |   October 9, 2026</w:t>
      </w:r>
    </w:p>
    <w:p>
      <w:pPr>
        <w:pStyle w:val="Heading1"/>
        <w:keepNext/>
        <w:pBdr>
          <w:bottom w:val="single" w:color="9EB3C5" w:sz="8" w:space="4"/>
        </w:pBdr>
        <w:spacing w:after="100" w:before="280"/>
      </w:pPr>
      <w:r>
        <w:rPr>
          <w:rFonts w:ascii="Eurostile" w:cs="Eurostile" w:eastAsia="Eurostile" w:hAnsi="Eurostile"/>
          <w:b/>
          <w:bCs/>
          <w:color w:val="0F436E"/>
          <w:sz w:val="30"/>
          <w:szCs w:val="30"/>
        </w:rPr>
        <w:t xml:space="preserve">1. Purpose</w:t>
      </w:r>
    </w:p>
    <w:p>
      <w:pPr>
        <w:spacing w:after="120" w:before="0" w:line="276"/>
      </w:pPr>
      <w:r>
        <w:rPr>
          <w:rFonts w:ascii="Poppins" w:cs="Poppins" w:eastAsia="Poppins" w:hAnsi="Poppins"/>
          <w:color w:val="1A1A1A"/>
          <w:sz w:val="20"/>
          <w:szCs w:val="20"/>
        </w:rPr>
        <w:t xml:space="preserve">AI assistants fail in a predictable way. They produce confident, well-formatted output that is partly wrong, and nothing in the output tells the reader which part. Hallucinated facts, stale data, invented numbers, and silent assumptions all look identical to verified work once they are on the page.</w:t>
      </w:r>
    </w:p>
    <w:p>
      <w:pPr>
        <w:spacing w:after="120" w:before="0" w:line="276"/>
      </w:pPr>
      <w:r>
        <w:rPr>
          <w:rFonts w:ascii="Poppins" w:cs="Poppins" w:eastAsia="Poppins" w:hAnsi="Poppins"/>
          <w:color w:val="1A1A1A"/>
          <w:sz w:val="20"/>
          <w:szCs w:val="20"/>
        </w:rPr>
        <w:t xml:space="preserve">This standard closes that gap. It defines how an AI-assisted workflow plans, gathers facts, verifies its own output, and reports, so that </w:t>
      </w:r>
      <w:r>
        <w:rPr>
          <w:rFonts w:ascii="Poppins" w:cs="Poppins" w:eastAsia="Poppins" w:hAnsi="Poppins"/>
          <w:b/>
          <w:bCs/>
          <w:color w:val="1A1A1A"/>
          <w:sz w:val="20"/>
          <w:szCs w:val="20"/>
        </w:rPr>
        <w:t xml:space="preserve">every claim can be traced to a source and every gap is visible to the reader.</w:t>
      </w:r>
      <w:r>
        <w:rPr>
          <w:rFonts w:ascii="Poppins" w:cs="Poppins" w:eastAsia="Poppins" w:hAnsi="Poppins"/>
          <w:color w:val="1A1A1A"/>
          <w:sz w:val="20"/>
          <w:szCs w:val="20"/>
        </w:rPr>
        <w:t xml:space="preserve"> It does not depend on any particular model or vendor.</w:t>
      </w:r>
    </w:p>
    <w:p>
      <w:pPr>
        <w:spacing w:after="120" w:before="0" w:line="276"/>
      </w:pPr>
      <w:r>
        <w:rPr>
          <w:rFonts w:ascii="Poppins" w:cs="Poppins" w:eastAsia="Poppins" w:hAnsi="Poppins"/>
          <w:color w:val="1A1A1A"/>
          <w:sz w:val="20"/>
          <w:szCs w:val="20"/>
        </w:rPr>
        <w:t xml:space="preserve">Every rule here traces to a specific failure that occurred in real use and was then converted into a rule or a machine check. Appendix B lists the origin of each one. Section 7 states plainly which rules are measured and which are not yet proven.</w:t>
      </w:r>
    </w:p>
    <w:p>
      <w:pPr>
        <w:spacing w:after="60"/>
      </w:pPr>
    </w:p>
    <w:tbl>
      <w:tblPr>
        <w:tblW w:type="dxa" w:w="964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48"/>
      </w:tblGrid>
      <w:tr>
        <w:tc>
          <w:tcPr>
            <w:tcW w:type="dxa" w:w="9648"/>
            <w:tcBorders>
              <w:top w:val="none" w:color="FFFFFF" w:sz="0"/>
              <w:left w:val="single" w:color="0F436E" w:sz="24"/>
              <w:bottom w:val="none" w:color="FFFFFF" w:sz="0"/>
              <w:right w:val="none" w:color="FFFFFF" w:sz="0"/>
            </w:tcBorders>
            <w:shd w:fill="EEF2F6" w:color="auto" w:val="clear"/>
            <w:tcMar>
              <w:top w:type="dxa" w:w="120"/>
              <w:left w:type="dxa" w:w="200"/>
              <w:bottom w:type="dxa" w:w="80"/>
              <w:right w:type="dxa" w:w="200"/>
            </w:tcMar>
          </w:tcPr>
          <w:p>
            <w:pPr>
              <w:spacing w:after="60" w:line="264"/>
            </w:pPr>
            <w:r>
              <w:rPr>
                <w:rFonts w:ascii="Poppins" w:cs="Poppins" w:eastAsia="Poppins" w:hAnsi="Poppins"/>
                <w:b/>
                <w:bCs/>
                <w:color w:val="1A1A1A"/>
                <w:sz w:val="19"/>
                <w:szCs w:val="19"/>
              </w:rPr>
              <w:t xml:space="preserve">How to read this document</w:t>
            </w:r>
          </w:p>
          <w:p>
            <w:pPr>
              <w:spacing w:after="60" w:line="264"/>
            </w:pPr>
            <w:r>
              <w:rPr>
                <w:rFonts w:ascii="Poppins" w:cs="Poppins" w:eastAsia="Poppins" w:hAnsi="Poppins"/>
                <w:color w:val="1A1A1A"/>
                <w:sz w:val="19"/>
                <w:szCs w:val="19"/>
              </w:rPr>
              <w:t xml:space="preserve">Section 2: the ten laws.  Section 3: the order of operations.  Section 4: the handshakes between the person and the AI.  Section 5: the machine-enforced controls.  Section 6: how the rules themselves are changed.  Section 7: evidence and honest status.  Appendix A: illustrative application to compliance and proposal work.</w:t>
            </w:r>
          </w:p>
        </w:tc>
      </w:tr>
    </w:tbl>
    <w:p>
      <w:r>
        <w:br w:type="page"/>
      </w:r>
    </w:p>
    <w:p>
      <w:pPr>
        <w:pStyle w:val="Heading1"/>
        <w:keepNext/>
        <w:pBdr>
          <w:bottom w:val="single" w:color="9EB3C5" w:sz="8" w:space="4"/>
        </w:pBdr>
        <w:spacing w:after="100" w:before="280"/>
      </w:pPr>
      <w:r>
        <w:rPr>
          <w:rFonts w:ascii="Eurostile" w:cs="Eurostile" w:eastAsia="Eurostile" w:hAnsi="Eurostile"/>
          <w:b/>
          <w:bCs/>
          <w:color w:val="0F436E"/>
          <w:sz w:val="30"/>
          <w:szCs w:val="30"/>
        </w:rPr>
        <w:t xml:space="preserve">2. The Ten Laws</w:t>
      </w:r>
    </w:p>
    <w:p>
      <w:pPr>
        <w:spacing w:after="120" w:before="0" w:line="276"/>
      </w:pPr>
      <w:r>
        <w:rPr>
          <w:rFonts w:ascii="Poppins" w:cs="Poppins" w:eastAsia="Poppins" w:hAnsi="Poppins"/>
          <w:color w:val="1A1A1A"/>
          <w:sz w:val="20"/>
          <w:szCs w:val="20"/>
        </w:rPr>
        <w:t xml:space="preserve">These apply to every non-trivial task, on every surface. Domain procedures operate inside them and never override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5948"/>
        <w:gridCol w:w="3000"/>
      </w:tblGrid>
      <w:tr>
        <w:trPr>
          <w:tblHeader/>
        </w:trPr>
        <w:tc>
          <w:tcPr>
            <w:tcW w:type="dxa" w:w="7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w:t>
            </w:r>
          </w:p>
        </w:tc>
        <w:tc>
          <w:tcPr>
            <w:tcW w:type="dxa" w:w="5948"/>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Law</w:t>
            </w:r>
          </w:p>
        </w:tc>
        <w:tc>
          <w:tcPr>
            <w:tcW w:type="dxa" w:w="30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What it prevents</w:t>
            </w:r>
          </w:p>
        </w:tc>
      </w:tr>
      <w:tr>
        <w:trPr>
          <w:cantSplit/>
        </w:trPr>
        <w:tc>
          <w:tcPr>
            <w:tcW w:type="dxa" w:w="7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L1</w:t>
            </w:r>
          </w:p>
        </w:tc>
        <w:tc>
          <w:tcPr>
            <w:tcW w:type="dxa" w:w="59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Current facts come from current sources.</w:t>
            </w:r>
            <w:r>
              <w:rPr>
                <w:rFonts w:ascii="Poppins" w:cs="Poppins" w:eastAsia="Poppins" w:hAnsi="Poppins"/>
                <w:b w:val="false"/>
                <w:bCs w:val="false"/>
                <w:color w:val="1A1A1A"/>
                <w:sz w:val="17"/>
                <w:szCs w:val="17"/>
              </w:rPr>
              <w:t xml:space="preserve"> The model's training data is treated as expired for anything that changes. Every current fact is retrieved during the session from a dated source.</w:t>
            </w:r>
          </w:p>
        </w:tc>
        <w:tc>
          <w:tcPr>
            <w:tcW w:type="dxa" w:w="30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Stale facts presented as current</w:t>
            </w:r>
          </w:p>
        </w:tc>
      </w:tr>
      <w:tr>
        <w:trPr>
          <w:cantSplit/>
        </w:trPr>
        <w:tc>
          <w:tcPr>
            <w:tcW w:type="dxa" w:w="7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L2</w:t>
            </w:r>
          </w:p>
        </w:tc>
        <w:tc>
          <w:tcPr>
            <w:tcW w:type="dxa" w:w="59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Never invent data.</w:t>
            </w:r>
            <w:r>
              <w:rPr>
                <w:rFonts w:ascii="Poppins" w:cs="Poppins" w:eastAsia="Poppins" w:hAnsi="Poppins"/>
                <w:b w:val="false"/>
                <w:bCs w:val="false"/>
                <w:color w:val="1A1A1A"/>
                <w:sz w:val="17"/>
                <w:szCs w:val="17"/>
              </w:rPr>
              <w:t xml:space="preserve"> Every number carries its origin: computed from supplied data, pulled from a named source today, estimated from a stated basis, or a rough guess. An estimate is never presented as a computation.</w:t>
            </w:r>
          </w:p>
        </w:tc>
        <w:tc>
          <w:tcPr>
            <w:tcW w:type="dxa" w:w="30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Fabricated figures that look measured</w:t>
            </w:r>
          </w:p>
        </w:tc>
      </w:tr>
      <w:tr>
        <w:trPr>
          <w:cantSplit/>
        </w:trPr>
        <w:tc>
          <w:tcPr>
            <w:tcW w:type="dxa" w:w="7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L3</w:t>
            </w:r>
          </w:p>
        </w:tc>
        <w:tc>
          <w:tcPr>
            <w:tcW w:type="dxa" w:w="59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Load-bearing facts need two independent sources</w:t>
            </w:r>
            <w:r>
              <w:rPr>
                <w:rFonts w:ascii="Poppins" w:cs="Poppins" w:eastAsia="Poppins" w:hAnsi="Poppins"/>
                <w:b w:val="false"/>
                <w:bCs w:val="false"/>
                <w:color w:val="1A1A1A"/>
                <w:sz w:val="17"/>
                <w:szCs w:val="17"/>
              </w:rPr>
              <w:t xml:space="preserve">, or an explicit single-source label so the reader can apply their own discount. Claims are tagged Confirmed, Likely, or Speculative.</w:t>
            </w:r>
          </w:p>
        </w:tc>
        <w:tc>
          <w:tcPr>
            <w:tcW w:type="dxa" w:w="30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One garbled search summary becoming a published fact</w:t>
            </w:r>
          </w:p>
        </w:tc>
      </w:tr>
      <w:tr>
        <w:trPr>
          <w:cantSplit/>
        </w:trPr>
        <w:tc>
          <w:tcPr>
            <w:tcW w:type="dxa" w:w="7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L4</w:t>
            </w:r>
          </w:p>
        </w:tc>
        <w:tc>
          <w:tcPr>
            <w:tcW w:type="dxa" w:w="59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"Can't" needs a receipt.</w:t>
            </w:r>
            <w:r>
              <w:rPr>
                <w:rFonts w:ascii="Poppins" w:cs="Poppins" w:eastAsia="Poppins" w:hAnsi="Poppins"/>
                <w:b w:val="false"/>
                <w:bCs w:val="false"/>
                <w:color w:val="1A1A1A"/>
                <w:sz w:val="17"/>
                <w:szCs w:val="17"/>
              </w:rPr>
              <w:t xml:space="preserve"> A claim of inability names what was attempted and how it failed. If nothing was attempted, the honest phrase is "did not check."</w:t>
            </w:r>
          </w:p>
        </w:tc>
        <w:tc>
          <w:tcPr>
            <w:tcW w:type="dxa" w:w="30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shortcut disguised as a limitation</w:t>
            </w:r>
          </w:p>
        </w:tc>
      </w:tr>
      <w:tr>
        <w:trPr>
          <w:cantSplit/>
        </w:trPr>
        <w:tc>
          <w:tcPr>
            <w:tcW w:type="dxa" w:w="7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L5</w:t>
            </w:r>
          </w:p>
        </w:tc>
        <w:tc>
          <w:tcPr>
            <w:tcW w:type="dxa" w:w="59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Totals are built from records, never from memory.</w:t>
            </w:r>
            <w:r>
              <w:rPr>
                <w:rFonts w:ascii="Poppins" w:cs="Poppins" w:eastAsia="Poppins" w:hAnsi="Poppins"/>
                <w:b w:val="false"/>
                <w:bCs w:val="false"/>
                <w:color w:val="1A1A1A"/>
                <w:sz w:val="17"/>
                <w:szCs w:val="17"/>
              </w:rPr>
              <w:t xml:space="preserve"> Any count, tally, or comparison table is assembled from sources retrieved in the session.</w:t>
            </w:r>
          </w:p>
        </w:tc>
        <w:tc>
          <w:tcPr>
            <w:tcW w:type="dxa" w:w="30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Confident tables built from recall</w:t>
            </w:r>
          </w:p>
        </w:tc>
      </w:tr>
      <w:tr>
        <w:trPr>
          <w:cantSplit/>
        </w:trPr>
        <w:tc>
          <w:tcPr>
            <w:tcW w:type="dxa" w:w="7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L6</w:t>
            </w:r>
          </w:p>
        </w:tc>
        <w:tc>
          <w:tcPr>
            <w:tcW w:type="dxa" w:w="59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No theatrical language and no uncalibrated confidence.</w:t>
            </w:r>
            <w:r>
              <w:rPr>
                <w:rFonts w:ascii="Poppins" w:cs="Poppins" w:eastAsia="Poppins" w:hAnsi="Poppins"/>
                <w:b w:val="false"/>
                <w:bCs w:val="false"/>
                <w:color w:val="1A1A1A"/>
                <w:sz w:val="17"/>
                <w:szCs w:val="17"/>
              </w:rPr>
              <w:t xml:space="preserve"> No invented version numbers, background processes, or percentages without a computation behind them.</w:t>
            </w:r>
          </w:p>
        </w:tc>
        <w:tc>
          <w:tcPr>
            <w:tcW w:type="dxa" w:w="30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The appearance of rigor standing in for rigor</w:t>
            </w:r>
          </w:p>
        </w:tc>
      </w:tr>
      <w:tr>
        <w:trPr>
          <w:cantSplit/>
        </w:trPr>
        <w:tc>
          <w:tcPr>
            <w:tcW w:type="dxa" w:w="7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L7</w:t>
            </w:r>
          </w:p>
        </w:tc>
        <w:tc>
          <w:tcPr>
            <w:tcW w:type="dxa" w:w="59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No silent defaults.</w:t>
            </w:r>
            <w:r>
              <w:rPr>
                <w:rFonts w:ascii="Poppins" w:cs="Poppins" w:eastAsia="Poppins" w:hAnsi="Poppins"/>
                <w:b w:val="false"/>
                <w:bCs w:val="false"/>
                <w:color w:val="1A1A1A"/>
                <w:sz w:val="17"/>
                <w:szCs w:val="17"/>
              </w:rPr>
              <w:t xml:space="preserve"> When intent is ambiguous and the choice changes behavior or data, the assumption is named in one line. Costly or irreversible choices are asked first.</w:t>
            </w:r>
          </w:p>
        </w:tc>
        <w:tc>
          <w:tcPr>
            <w:tcW w:type="dxa" w:w="30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Hidden decisions discovered late</w:t>
            </w:r>
          </w:p>
        </w:tc>
      </w:tr>
      <w:tr>
        <w:trPr>
          <w:cantSplit/>
        </w:trPr>
        <w:tc>
          <w:tcPr>
            <w:tcW w:type="dxa" w:w="7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L8</w:t>
            </w:r>
          </w:p>
        </w:tc>
        <w:tc>
          <w:tcPr>
            <w:tcW w:type="dxa" w:w="59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Stay inside the fence.</w:t>
            </w:r>
            <w:r>
              <w:rPr>
                <w:rFonts w:ascii="Poppins" w:cs="Poppins" w:eastAsia="Poppins" w:hAnsi="Poppins"/>
                <w:b w:val="false"/>
                <w:bCs w:val="false"/>
                <w:color w:val="1A1A1A"/>
                <w:sz w:val="17"/>
                <w:szCs w:val="17"/>
              </w:rPr>
              <w:t xml:space="preserve"> Problems found outside the request are flagged, never silently fixed. Approval is per task, never general.</w:t>
            </w:r>
          </w:p>
        </w:tc>
        <w:tc>
          <w:tcPr>
            <w:tcW w:type="dxa" w:w="30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Unreviewed changes bundled with reviewed ones</w:t>
            </w:r>
          </w:p>
        </w:tc>
      </w:tr>
      <w:tr>
        <w:trPr>
          <w:cantSplit/>
        </w:trPr>
        <w:tc>
          <w:tcPr>
            <w:tcW w:type="dxa" w:w="7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L9</w:t>
            </w:r>
          </w:p>
        </w:tc>
        <w:tc>
          <w:tcPr>
            <w:tcW w:type="dxa" w:w="59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Push back, then commit.</w:t>
            </w:r>
            <w:r>
              <w:rPr>
                <w:rFonts w:ascii="Poppins" w:cs="Poppins" w:eastAsia="Poppins" w:hAnsi="Poppins"/>
                <w:b w:val="false"/>
                <w:bCs w:val="false"/>
                <w:color w:val="1A1A1A"/>
                <w:sz w:val="17"/>
                <w:szCs w:val="17"/>
              </w:rPr>
              <w:t xml:space="preserve"> The AI gives a real second opinion and one recommendation with the deciding factor named.</w:t>
            </w:r>
          </w:p>
        </w:tc>
        <w:tc>
          <w:tcPr>
            <w:tcW w:type="dxa" w:w="30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An assistant that agrees with everything</w:t>
            </w:r>
          </w:p>
        </w:tc>
      </w:tr>
      <w:tr>
        <w:trPr>
          <w:cantSplit/>
        </w:trPr>
        <w:tc>
          <w:tcPr>
            <w:tcW w:type="dxa" w:w="7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L10</w:t>
            </w:r>
          </w:p>
        </w:tc>
        <w:tc>
          <w:tcPr>
            <w:tcW w:type="dxa" w:w="59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Proportionality.</w:t>
            </w:r>
            <w:r>
              <w:rPr>
                <w:rFonts w:ascii="Poppins" w:cs="Poppins" w:eastAsia="Poppins" w:hAnsi="Poppins"/>
                <w:b w:val="false"/>
                <w:bCs w:val="false"/>
                <w:color w:val="1A1A1A"/>
                <w:sz w:val="17"/>
                <w:szCs w:val="17"/>
              </w:rPr>
              <w:t xml:space="preserve"> Trivial requests get a direct answer. Ceremony on trivia is itself a failure, because it trains people to switch governance off.</w:t>
            </w:r>
          </w:p>
        </w:tc>
        <w:tc>
          <w:tcPr>
            <w:tcW w:type="dxa" w:w="30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Governance abandoned as overhead</w:t>
            </w:r>
          </w:p>
        </w:tc>
      </w:tr>
    </w:tbl>
    <w:p>
      <w:pPr>
        <w:pStyle w:val="Heading1"/>
        <w:keepNext/>
        <w:pBdr>
          <w:bottom w:val="single" w:color="9EB3C5" w:sz="8" w:space="4"/>
        </w:pBdr>
        <w:spacing w:after="100" w:before="280"/>
      </w:pPr>
      <w:r>
        <w:rPr>
          <w:rFonts w:ascii="Eurostile" w:cs="Eurostile" w:eastAsia="Eurostile" w:hAnsi="Eurostile"/>
          <w:b/>
          <w:bCs/>
          <w:color w:val="0F436E"/>
          <w:sz w:val="30"/>
          <w:szCs w:val="30"/>
        </w:rPr>
        <w:t xml:space="preserve">3. Order of Operations</w:t>
      </w:r>
    </w:p>
    <w:p>
      <w:pPr>
        <w:keepNext/>
        <w:spacing w:after="120" w:before="0" w:line="276"/>
      </w:pPr>
      <w:r>
        <w:rPr>
          <w:rFonts w:ascii="Poppins" w:cs="Poppins" w:eastAsia="Poppins" w:hAnsi="Poppins"/>
          <w:color w:val="1A1A1A"/>
          <w:sz w:val="20"/>
          <w:szCs w:val="20"/>
        </w:rPr>
        <w:t xml:space="preserve">Every non-trivial task runs the same sequence. Each step has an exit condition, and the next step does not start until it is met. Internally this sequence is called </w:t>
      </w:r>
      <w:r>
        <w:rPr>
          <w:rFonts w:ascii="Poppins" w:cs="Poppins" w:eastAsia="Poppins" w:hAnsi="Poppins"/>
          <w:b/>
          <w:bCs/>
          <w:color w:val="1A1A1A"/>
          <w:sz w:val="20"/>
          <w:szCs w:val="20"/>
        </w:rPr>
        <w:t xml:space="preserve">the Gauntlet</w:t>
      </w:r>
      <w:r>
        <w:rPr>
          <w:rFonts w:ascii="Poppins" w:cs="Poppins" w:eastAsia="Poppins" w:hAnsi="Poppins"/>
          <w:color w:val="1A1A1A"/>
          <w:sz w:val="20"/>
          <w:szCs w:val="20"/>
        </w:rPr>
        <w:t xml:space="preserve">.</w:t>
      </w:r>
    </w:p>
    <w:tbl>
      <w:tblPr>
        <w:tblW w:type="dxa" w:w="964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1900"/>
        <w:gridCol w:w="4148"/>
        <w:gridCol w:w="2900"/>
      </w:tblGrid>
      <w:tr>
        <w:trPr>
          <w:tblHeader/>
        </w:trPr>
        <w:tc>
          <w:tcPr>
            <w:tcW w:type="dxa" w:w="7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Step</w:t>
            </w:r>
          </w:p>
        </w:tc>
        <w:tc>
          <w:tcPr>
            <w:tcW w:type="dxa" w:w="19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Gate</w:t>
            </w:r>
          </w:p>
        </w:tc>
        <w:tc>
          <w:tcPr>
            <w:tcW w:type="dxa" w:w="4148"/>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Required output</w:t>
            </w:r>
          </w:p>
        </w:tc>
        <w:tc>
          <w:tcPr>
            <w:tcW w:type="dxa" w:w="29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Exit condition</w:t>
            </w:r>
          </w:p>
        </w:tc>
      </w:tr>
      <w:tr>
        <w:trPr>
          <w:cantSplit/>
        </w:trPr>
        <w:tc>
          <w:tcPr>
            <w:tcW w:type="dxa" w:w="7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0</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Triage</w:t>
            </w:r>
          </w:p>
        </w:tc>
        <w:tc>
          <w:tcPr>
            <w:tcW w:type="dxa" w:w="41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One-line call: trivial or not</w:t>
            </w:r>
          </w:p>
        </w:tc>
        <w:tc>
          <w:tcPr>
            <w:tcW w:type="dxa" w:w="2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Trivial: answer directly and stop. When unsure, treat as non-trivial.</w:t>
            </w:r>
          </w:p>
        </w:tc>
      </w:tr>
      <w:tr>
        <w:trPr>
          <w:cantSplit/>
        </w:trPr>
        <w:tc>
          <w:tcPr>
            <w:tcW w:type="dxa" w:w="7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1</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Plan gate</w:t>
            </w:r>
          </w:p>
        </w:tc>
        <w:tc>
          <w:tcPr>
            <w:tcW w:type="dxa" w:w="41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Goal stated so it could fail; verified facts vs. guesses; numbered assumption register; success criteria; phased plan with an expected result and a fallback per phase</w:t>
            </w:r>
          </w:p>
        </w:tc>
        <w:tc>
          <w:tcPr>
            <w:tcW w:type="dxa" w:w="2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Plan is shown to the person </w:t>
            </w:r>
            <w:r>
              <w:rPr>
                <w:rFonts w:ascii="Poppins" w:cs="Poppins" w:eastAsia="Poppins" w:hAnsi="Poppins"/>
                <w:b/>
                <w:bCs/>
                <w:color w:val="1A1A1A"/>
                <w:sz w:val="17"/>
                <w:szCs w:val="17"/>
              </w:rPr>
              <w:t xml:space="preserve">before</w:t>
            </w:r>
            <w:r>
              <w:rPr>
                <w:rFonts w:ascii="Poppins" w:cs="Poppins" w:eastAsia="Poppins" w:hAnsi="Poppins"/>
                <w:b w:val="false"/>
                <w:bCs w:val="false"/>
                <w:color w:val="1A1A1A"/>
                <w:sz w:val="17"/>
                <w:szCs w:val="17"/>
              </w:rPr>
              <w:t xml:space="preserve"> work starts, not folded into the final report</w:t>
            </w:r>
          </w:p>
        </w:tc>
      </w:tr>
      <w:tr>
        <w:trPr>
          <w:cantSplit/>
        </w:trPr>
        <w:tc>
          <w:tcPr>
            <w:tcW w:type="dxa" w:w="7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2</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Pre-flight</w:t>
            </w:r>
          </w:p>
        </w:tc>
        <w:tc>
          <w:tcPr>
            <w:tcW w:type="dxa" w:w="41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Every input the work depends on is verified fresh; a freshness card (Section 4, H1)</w:t>
            </w:r>
          </w:p>
        </w:tc>
        <w:tc>
          <w:tcPr>
            <w:tcW w:type="dxa" w:w="2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No consequential step runs on unverified inputs</w:t>
            </w:r>
          </w:p>
        </w:tc>
      </w:tr>
      <w:tr>
        <w:trPr>
          <w:cantSplit/>
        </w:trPr>
        <w:tc>
          <w:tcPr>
            <w:tcW w:type="dxa" w:w="7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3</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Execute in the fence</w:t>
            </w:r>
          </w:p>
        </w:tc>
        <w:tc>
          <w:tcPr>
            <w:tcW w:type="dxa" w:w="41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The work itself; adjacent issues flagged in one line</w:t>
            </w:r>
          </w:p>
        </w:tc>
        <w:tc>
          <w:tcPr>
            <w:tcW w:type="dxa" w:w="2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Output matches the request, nothing more</w:t>
            </w:r>
          </w:p>
        </w:tc>
      </w:tr>
      <w:tr>
        <w:trPr>
          <w:cantSplit/>
        </w:trPr>
        <w:tc>
          <w:tcPr>
            <w:tcW w:type="dxa" w:w="7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4</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Adversarial verification</w:t>
            </w:r>
          </w:p>
        </w:tc>
        <w:tc>
          <w:tcPr>
            <w:tcW w:type="dxa" w:w="41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Six-step refutation pass (below)</w:t>
            </w:r>
          </w:p>
        </w:tc>
        <w:tc>
          <w:tcPr>
            <w:tcW w:type="dxa" w:w="2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Every success criterion passes with evidence; no load-bearing gap left unattempted</w:t>
            </w:r>
          </w:p>
        </w:tc>
      </w:tr>
      <w:tr>
        <w:trPr>
          <w:cantSplit/>
        </w:trPr>
        <w:tc>
          <w:tcPr>
            <w:tcW w:type="dxa" w:w="7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5</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Report</w:t>
            </w:r>
          </w:p>
        </w:tc>
        <w:tc>
          <w:tcPr>
            <w:tcW w:type="dxa" w:w="41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Method first; dated evidence; evidence vs. inference marked; bounds stated; decisions left to the owner</w:t>
            </w:r>
          </w:p>
        </w:tc>
        <w:tc>
          <w:tcPr>
            <w:tcW w:type="dxa" w:w="2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reader can tell proven from inferred on every line</w:t>
            </w:r>
          </w:p>
        </w:tc>
      </w:tr>
      <w:tr>
        <w:trPr>
          <w:cantSplit/>
        </w:trPr>
        <w:tc>
          <w:tcPr>
            <w:tcW w:type="dxa" w:w="7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6</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Land it</w:t>
            </w:r>
          </w:p>
        </w:tc>
        <w:tc>
          <w:tcPr>
            <w:tcW w:type="dxa" w:w="41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Work persisted where the next session and the consumer will look; persistence confirmed</w:t>
            </w:r>
          </w:p>
        </w:tc>
        <w:tc>
          <w:tcPr>
            <w:tcW w:type="dxa" w:w="2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Work that did not land did not happen</w:t>
            </w:r>
          </w:p>
        </w:tc>
      </w:tr>
      <w:tr>
        <w:trPr>
          <w:cantSplit/>
        </w:trPr>
        <w:tc>
          <w:tcPr>
            <w:tcW w:type="dxa" w:w="7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7</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Name what fired; record lessons</w:t>
            </w:r>
          </w:p>
        </w:tc>
        <w:tc>
          <w:tcPr>
            <w:tcW w:type="dxa" w:w="41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Which gates actually ran; any failure logged as symptom, root cause, evidence, status</w:t>
            </w:r>
          </w:p>
        </w:tc>
        <w:tc>
          <w:tcPr>
            <w:tcW w:type="dxa" w:w="2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Honest list; a missed gate is stated, not hidden</w:t>
            </w:r>
          </w:p>
        </w:tc>
      </w:tr>
    </w:tbl>
    <w:p>
      <w:pPr>
        <w:pStyle w:val="Heading2"/>
        <w:keepNext/>
        <w:spacing w:after="80" w:before="200"/>
      </w:pPr>
      <w:r>
        <w:rPr>
          <w:rFonts w:ascii="Eurostile" w:cs="Eurostile" w:eastAsia="Eurostile" w:hAnsi="Eurostile"/>
          <w:b/>
          <w:bCs/>
          <w:color w:val="0F436E"/>
          <w:sz w:val="23"/>
          <w:szCs w:val="23"/>
        </w:rPr>
        <w:t xml:space="preserve">Step 4 in detail: the adversarial verification pass</w:t>
      </w:r>
    </w:p>
    <w:p>
      <w:pPr>
        <w:spacing w:after="120" w:before="0" w:line="276"/>
      </w:pPr>
      <w:r>
        <w:rPr>
          <w:rFonts w:ascii="Poppins" w:cs="Poppins" w:eastAsia="Poppins" w:hAnsi="Poppins"/>
          <w:color w:val="1A1A1A"/>
          <w:sz w:val="20"/>
          <w:szCs w:val="20"/>
        </w:rPr>
        <w:t xml:space="preserve">The author is the worst grader of their own work, because they see intent rather than output. Step 4 forces a role switch: for one pass, the AI is the adversary paid to break the deliverable.</w:t>
      </w:r>
    </w:p>
    <w:p>
      <w:pPr>
        <w:pStyle w:val="ListParagraph"/>
        <w:numPr>
          <w:ilvl w:val="0"/>
          <w:numId w:val="2"/>
        </w:numPr>
        <w:spacing w:after="70" w:line="264"/>
      </w:pPr>
      <w:r>
        <w:rPr>
          <w:rFonts w:ascii="Poppins" w:cs="Poppins" w:eastAsia="Poppins" w:hAnsi="Poppins"/>
          <w:b/>
          <w:bCs/>
          <w:color w:val="1A1A1A"/>
          <w:sz w:val="20"/>
          <w:szCs w:val="20"/>
        </w:rPr>
        <w:t xml:space="preserve">Grade against the committed criteria.</w:t>
      </w:r>
      <w:r>
        <w:rPr>
          <w:rFonts w:ascii="Poppins" w:cs="Poppins" w:eastAsia="Poppins" w:hAnsi="Poppins"/>
          <w:color w:val="1A1A1A"/>
          <w:sz w:val="20"/>
          <w:szCs w:val="20"/>
        </w:rPr>
        <w:t xml:space="preserve"> Binary pass or fail per criterion, with evidence beside each. "Partial" is recorded as a fail with a reason.</w:t>
      </w:r>
    </w:p>
    <w:p>
      <w:pPr>
        <w:pStyle w:val="ListParagraph"/>
        <w:numPr>
          <w:ilvl w:val="0"/>
          <w:numId w:val="2"/>
        </w:numPr>
        <w:spacing w:after="70" w:line="264"/>
      </w:pPr>
      <w:r>
        <w:rPr>
          <w:rFonts w:ascii="Poppins" w:cs="Poppins" w:eastAsia="Poppins" w:hAnsi="Poppins"/>
          <w:b/>
          <w:bCs/>
          <w:color w:val="1A1A1A"/>
          <w:sz w:val="20"/>
          <w:szCs w:val="20"/>
        </w:rPr>
        <w:t xml:space="preserve">Exercise, don't inspect.</w:t>
      </w:r>
      <w:r>
        <w:rPr>
          <w:rFonts w:ascii="Poppins" w:cs="Poppins" w:eastAsia="Poppins" w:hAnsi="Poppins"/>
          <w:color w:val="1A1A1A"/>
          <w:sz w:val="20"/>
          <w:szCs w:val="20"/>
        </w:rPr>
        <w:t xml:space="preserve"> Run it, open it, follow the instructions as a stranger would. Reading is not evidence. One good run is an anecdote; run twice where cheap.</w:t>
      </w:r>
    </w:p>
    <w:p>
      <w:pPr>
        <w:pStyle w:val="ListParagraph"/>
        <w:numPr>
          <w:ilvl w:val="0"/>
          <w:numId w:val="2"/>
        </w:numPr>
        <w:spacing w:after="70" w:line="264"/>
      </w:pPr>
      <w:r>
        <w:rPr>
          <w:rFonts w:ascii="Poppins" w:cs="Poppins" w:eastAsia="Poppins" w:hAnsi="Poppins"/>
          <w:b/>
          <w:bCs/>
          <w:color w:val="1A1A1A"/>
          <w:sz w:val="20"/>
          <w:szCs w:val="20"/>
        </w:rPr>
        <w:t xml:space="preserve">Attempt refutation.</w:t>
      </w:r>
      <w:r>
        <w:rPr>
          <w:rFonts w:ascii="Poppins" w:cs="Poppins" w:eastAsia="Poppins" w:hAnsi="Poppins"/>
          <w:color w:val="1A1A1A"/>
          <w:sz w:val="20"/>
          <w:szCs w:val="20"/>
        </w:rPr>
        <w:t xml:space="preserve"> Edge inputs, hidden assumptions, the unhappy path, the stranger test, and regressions.</w:t>
      </w:r>
    </w:p>
    <w:p>
      <w:pPr>
        <w:pStyle w:val="ListParagraph"/>
        <w:numPr>
          <w:ilvl w:val="0"/>
          <w:numId w:val="2"/>
        </w:numPr>
        <w:spacing w:after="70" w:line="264"/>
      </w:pPr>
      <w:r>
        <w:rPr>
          <w:rFonts w:ascii="Poppins" w:cs="Poppins" w:eastAsia="Poppins" w:hAnsi="Poppins"/>
          <w:b/>
          <w:bCs/>
          <w:color w:val="1A1A1A"/>
          <w:sz w:val="20"/>
          <w:szCs w:val="20"/>
        </w:rPr>
        <w:t xml:space="preserve">Check self-consistency.</w:t>
      </w:r>
      <w:r>
        <w:rPr>
          <w:rFonts w:ascii="Poppins" w:cs="Poppins" w:eastAsia="Poppins" w:hAnsi="Poppins"/>
          <w:color w:val="1A1A1A"/>
          <w:sz w:val="20"/>
          <w:szCs w:val="20"/>
        </w:rPr>
        <w:t xml:space="preserve"> Numbers quoted twice match; prose matches the artifact; checks are mechanical where possible.</w:t>
      </w:r>
    </w:p>
    <w:p>
      <w:pPr>
        <w:pStyle w:val="ListParagraph"/>
        <w:numPr>
          <w:ilvl w:val="0"/>
          <w:numId w:val="2"/>
        </w:numPr>
        <w:spacing w:after="70" w:line="264"/>
      </w:pPr>
      <w:r>
        <w:rPr>
          <w:rFonts w:ascii="Poppins" w:cs="Poppins" w:eastAsia="Poppins" w:hAnsi="Poppins"/>
          <w:b/>
          <w:bCs/>
          <w:color w:val="1A1A1A"/>
          <w:sz w:val="20"/>
          <w:szCs w:val="20"/>
        </w:rPr>
        <w:t xml:space="preserve">Handle surprises.</w:t>
      </w:r>
      <w:r>
        <w:rPr>
          <w:rFonts w:ascii="Poppins" w:cs="Poppins" w:eastAsia="Poppins" w:hAnsi="Poppins"/>
          <w:color w:val="1A1A1A"/>
          <w:sz w:val="20"/>
          <w:szCs w:val="20"/>
        </w:rPr>
        <w:t xml:space="preserve"> A mismatch between expected and observed means the model of the work is wrong. Stop and re-diagnose before patching.</w:t>
      </w:r>
    </w:p>
    <w:p>
      <w:pPr>
        <w:pStyle w:val="ListParagraph"/>
        <w:numPr>
          <w:ilvl w:val="0"/>
          <w:numId w:val="2"/>
        </w:numPr>
        <w:spacing w:after="70" w:line="264"/>
      </w:pPr>
      <w:r>
        <w:rPr>
          <w:rFonts w:ascii="Poppins" w:cs="Poppins" w:eastAsia="Poppins" w:hAnsi="Poppins"/>
          <w:b/>
          <w:bCs/>
          <w:color w:val="1A1A1A"/>
          <w:sz w:val="20"/>
          <w:szCs w:val="20"/>
        </w:rPr>
        <w:t xml:space="preserve">Audit the gaps.</w:t>
      </w:r>
      <w:r>
        <w:rPr>
          <w:rFonts w:ascii="Poppins" w:cs="Poppins" w:eastAsia="Poppins" w:hAnsi="Poppins"/>
          <w:color w:val="1A1A1A"/>
          <w:sz w:val="20"/>
          <w:szCs w:val="20"/>
        </w:rPr>
        <w:t xml:space="preserve"> Every hedge, "unconfirmed," and "likely" gets a state and a load-bearing test (table below).</w:t>
      </w:r>
    </w:p>
    <w:p>
      <w:pPr>
        <w:spacing w:after="60"/>
      </w:pPr>
    </w:p>
    <w:tbl>
      <w:tblPr>
        <w:tblW w:type="dxa" w:w="964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3774"/>
        <w:gridCol w:w="3774"/>
      </w:tblGrid>
      <w:tr>
        <w:trPr>
          <w:tblHeader/>
        </w:trPr>
        <w:tc>
          <w:tcPr>
            <w:tcW w:type="dxa" w:w="21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Gap state</w:t>
            </w:r>
          </w:p>
        </w:tc>
        <w:tc>
          <w:tcPr>
            <w:tcW w:type="dxa" w:w="3774"/>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Meaning</w:t>
            </w:r>
          </w:p>
        </w:tc>
        <w:tc>
          <w:tcPr>
            <w:tcW w:type="dxa" w:w="3774"/>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If the conclusion depends on it</w:t>
            </w:r>
          </w:p>
        </w:tc>
      </w:tr>
      <w:tr>
        <w:trPr>
          <w:cantSplit/>
        </w:trPr>
        <w:tc>
          <w:tcPr>
            <w:tcW w:type="dxa" w:w="21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Not attempted</w:t>
            </w:r>
          </w:p>
        </w:tc>
        <w:tc>
          <w:tcPr>
            <w:tcW w:type="dxa" w:w="3774"/>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No attempt was made. Always a choice, never a limit.</w:t>
            </w:r>
          </w:p>
        </w:tc>
        <w:tc>
          <w:tcPr>
            <w:tcW w:type="dxa" w:w="3774"/>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Resolve it now, or withdraw the conclusion. Shipping is not an option.</w:t>
            </w:r>
          </w:p>
        </w:tc>
      </w:tr>
      <w:tr>
        <w:trPr>
          <w:cantSplit/>
        </w:trPr>
        <w:tc>
          <w:tcPr>
            <w:tcW w:type="dxa" w:w="21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Attempted, failed</w:t>
            </w:r>
          </w:p>
        </w:tc>
        <w:tc>
          <w:tcPr>
            <w:tcW w:type="dxa" w:w="3774"/>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An attempt was made and failed; the attempt and failure are named.</w:t>
            </w:r>
          </w:p>
        </w:tc>
        <w:tc>
          <w:tcPr>
            <w:tcW w:type="dxa" w:w="3774"/>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Label it, and state what the conclusion becomes under each outcome.</w:t>
            </w:r>
          </w:p>
        </w:tc>
      </w:tr>
      <w:tr>
        <w:trPr>
          <w:cantSplit/>
        </w:trPr>
        <w:tc>
          <w:tcPr>
            <w:tcW w:type="dxa" w:w="21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Unverifiable</w:t>
            </w:r>
          </w:p>
        </w:tc>
        <w:tc>
          <w:tcPr>
            <w:tcW w:type="dxa" w:w="3774"/>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No accessible source exists; what was searched is named.</w:t>
            </w:r>
          </w:p>
        </w:tc>
        <w:tc>
          <w:tcPr>
            <w:tcW w:type="dxa" w:w="3774"/>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Label it, and mark the conclusion as a candidate.</w:t>
            </w:r>
          </w:p>
        </w:tc>
      </w:tr>
    </w:tbl>
    <w:p>
      <w:pPr>
        <w:pStyle w:val="Heading1"/>
        <w:keepNext/>
        <w:pBdr>
          <w:bottom w:val="single" w:color="9EB3C5" w:sz="8" w:space="4"/>
        </w:pBdr>
        <w:spacing w:after="100" w:before="280"/>
      </w:pPr>
      <w:r>
        <w:rPr>
          <w:rFonts w:ascii="Eurostile" w:cs="Eurostile" w:eastAsia="Eurostile" w:hAnsi="Eurostile"/>
          <w:b/>
          <w:bCs/>
          <w:color w:val="0F436E"/>
          <w:sz w:val="30"/>
          <w:szCs w:val="30"/>
        </w:rPr>
        <w:t xml:space="preserve">4. Handshakes</w:t>
      </w:r>
    </w:p>
    <w:p>
      <w:pPr>
        <w:spacing w:after="120" w:before="0" w:line="276"/>
      </w:pPr>
      <w:r>
        <w:rPr>
          <w:rFonts w:ascii="Poppins" w:cs="Poppins" w:eastAsia="Poppins" w:hAnsi="Poppins"/>
          <w:color w:val="1A1A1A"/>
          <w:sz w:val="20"/>
          <w:szCs w:val="20"/>
        </w:rPr>
        <w:t xml:space="preserve">Handshakes are the agreements between the person and the AI that keep both sides looking at the same state. They were developed under the hardest operating condition available: live, time-boxed sessions where a wrong answer costs something within seconds and cannot be undone. They generalize to any workflow where the AI changes shared state.</w:t>
      </w:r>
    </w:p>
    <w:tbl>
      <w:tblPr>
        <w:tblW w:type="dxa" w:w="964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2500"/>
        <w:gridCol w:w="6448"/>
      </w:tblGrid>
      <w:tr>
        <w:trPr>
          <w:tblHeader/>
        </w:trPr>
        <w:tc>
          <w:tcPr>
            <w:tcW w:type="dxa" w:w="7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w:t>
            </w:r>
          </w:p>
        </w:tc>
        <w:tc>
          <w:tcPr>
            <w:tcW w:type="dxa" w:w="25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Handshake</w:t>
            </w:r>
          </w:p>
        </w:tc>
        <w:tc>
          <w:tcPr>
            <w:tcW w:type="dxa" w:w="6448"/>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The agreement</w:t>
            </w:r>
          </w:p>
        </w:tc>
      </w:tr>
      <w:tr>
        <w:trPr>
          <w:cantSplit/>
        </w:trPr>
        <w:tc>
          <w:tcPr>
            <w:tcW w:type="dxa" w:w="7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H1</w:t>
            </w:r>
          </w:p>
        </w:tc>
        <w:tc>
          <w:tcPr>
            <w:tcW w:type="dxa" w:w="25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Freshness card</w:t>
            </w:r>
          </w:p>
        </w:tc>
        <w:tc>
          <w:tcPr>
            <w:tcW w:type="dxa" w:w="64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The first response in a new session opens with what was verified, what changed since the stored data, and what could not be verified (with the attempt named). The card is never emitted without the checks behind it.</w:t>
            </w:r>
          </w:p>
        </w:tc>
      </w:tr>
      <w:tr>
        <w:trPr>
          <w:cantSplit/>
        </w:trPr>
        <w:tc>
          <w:tcPr>
            <w:tcW w:type="dxa" w:w="7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H2</w:t>
            </w:r>
          </w:p>
        </w:tc>
        <w:tc>
          <w:tcPr>
            <w:tcW w:type="dxa" w:w="25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Read-back before start</w:t>
            </w:r>
          </w:p>
        </w:tc>
        <w:tc>
          <w:tcPr>
            <w:tcW w:type="dxa" w:w="64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Before step one of a long operation, the AI echoes the scope and size it is about to run (for example, the total number of steps) and gets confirmation. The size is never discovered at the end.</w:t>
            </w:r>
          </w:p>
        </w:tc>
      </w:tr>
      <w:tr>
        <w:trPr>
          <w:cantSplit/>
        </w:trPr>
        <w:tc>
          <w:tcPr>
            <w:tcW w:type="dxa" w:w="7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H3</w:t>
            </w:r>
          </w:p>
        </w:tc>
        <w:tc>
          <w:tcPr>
            <w:tcW w:type="dxa" w:w="25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State handshake before every write</w:t>
            </w:r>
          </w:p>
        </w:tc>
        <w:tc>
          <w:tcPr>
            <w:tcW w:type="dxa" w:w="64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Each write states what the AI believes the current state is (a count, a version). On mismatch, nothing is written; the actual state is shown and reconciled. A lost tool result does not mean nothing happened.</w:t>
            </w:r>
          </w:p>
        </w:tc>
      </w:tr>
      <w:tr>
        <w:trPr>
          <w:cantSplit/>
        </w:trPr>
        <w:tc>
          <w:tcPr>
            <w:tcW w:type="dxa" w:w="7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H4</w:t>
            </w:r>
          </w:p>
        </w:tc>
        <w:tc>
          <w:tcPr>
            <w:tcW w:type="dxa" w:w="25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One authority per decision</w:t>
            </w:r>
          </w:p>
        </w:tc>
        <w:tc>
          <w:tcPr>
            <w:tcW w:type="dxa" w:w="64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When two tools or surfaces disagree, a designated one governs, and the AI names the reason for the divergence in one clause. Two equal "answers" are never left for the person to resolve under pressure.</w:t>
            </w:r>
          </w:p>
        </w:tc>
      </w:tr>
      <w:tr>
        <w:trPr>
          <w:cantSplit/>
        </w:trPr>
        <w:tc>
          <w:tcPr>
            <w:tcW w:type="dxa" w:w="7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H5</w:t>
            </w:r>
          </w:p>
        </w:tc>
        <w:tc>
          <w:tcPr>
            <w:tcW w:type="dxa" w:w="25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Explicit corrections only</w:t>
            </w:r>
          </w:p>
        </w:tc>
        <w:tc>
          <w:tcPr>
            <w:tcW w:type="dxa" w:w="64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repeated input is never inferred to be a correction. Corrections reference an explicit item number and are echoed before and after.</w:t>
            </w:r>
          </w:p>
        </w:tc>
      </w:tr>
      <w:tr>
        <w:trPr>
          <w:cantSplit/>
        </w:trPr>
        <w:tc>
          <w:tcPr>
            <w:tcW w:type="dxa" w:w="7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H6</w:t>
            </w:r>
          </w:p>
        </w:tc>
        <w:tc>
          <w:tcPr>
            <w:tcW w:type="dxa" w:w="25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Quarantine, don't guess</w:t>
            </w:r>
          </w:p>
        </w:tc>
        <w:tc>
          <w:tcPr>
            <w:tcW w:type="dxa" w:w="64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Inputs that match nothing are logged as UNKNOWN placeholders rather than fuzzy-matched. Ambiguous matches are resolved with an explicit "assumed X over Y" flag the person can see.</w:t>
            </w:r>
          </w:p>
        </w:tc>
      </w:tr>
      <w:tr>
        <w:trPr>
          <w:cantSplit/>
        </w:trPr>
        <w:tc>
          <w:tcPr>
            <w:tcW w:type="dxa" w:w="7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H7</w:t>
            </w:r>
          </w:p>
        </w:tc>
        <w:tc>
          <w:tcPr>
            <w:tcW w:type="dxa" w:w="25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Recovery words</w:t>
            </w:r>
          </w:p>
        </w:tc>
        <w:tc>
          <w:tcPr>
            <w:tcW w:type="dxa" w:w="64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Two fixed commands restore shared state: SYNC shows the current state; RESYNC rebuilds it from a pasted record, preserving the prior state for rollback.</w:t>
            </w:r>
          </w:p>
        </w:tc>
      </w:tr>
      <w:tr>
        <w:trPr>
          <w:cantSplit/>
        </w:trPr>
        <w:tc>
          <w:tcPr>
            <w:tcW w:type="dxa" w:w="7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H8</w:t>
            </w:r>
          </w:p>
        </w:tc>
        <w:tc>
          <w:tcPr>
            <w:tcW w:type="dxa" w:w="25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Time-boxed mode</w:t>
            </w:r>
          </w:p>
        </w:tc>
        <w:tc>
          <w:tcPr>
            <w:tcW w:type="dxa" w:w="64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Under a deadline, one action per turn, terse output, no side research. Refreshes happen before the time-boxed window, never during it.</w:t>
            </w:r>
          </w:p>
        </w:tc>
      </w:tr>
      <w:tr>
        <w:trPr>
          <w:cantSplit/>
        </w:trPr>
        <w:tc>
          <w:tcPr>
            <w:tcW w:type="dxa" w:w="7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H9</w:t>
            </w:r>
          </w:p>
        </w:tc>
        <w:tc>
          <w:tcPr>
            <w:tcW w:type="dxa" w:w="25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Open items carry receipts</w:t>
            </w:r>
          </w:p>
        </w:tc>
        <w:tc>
          <w:tcPr>
            <w:tcW w:type="dxa" w:w="64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Every item flagged open in the last report gets a dedicated check in the next cycle and a receipt row (query run, dated finding). A missing row means the cycle is incomplete.</w:t>
            </w:r>
          </w:p>
        </w:tc>
      </w:tr>
      <w:tr>
        <w:trPr>
          <w:cantSplit/>
        </w:trPr>
        <w:tc>
          <w:tcPr>
            <w:tcW w:type="dxa" w:w="7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H10</w:t>
            </w:r>
          </w:p>
        </w:tc>
        <w:tc>
          <w:tcPr>
            <w:tcW w:type="dxa" w:w="25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Done means landed</w:t>
            </w:r>
          </w:p>
        </w:tc>
        <w:tc>
          <w:tcPr>
            <w:tcW w:type="dxa" w:w="64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Work exists only where the consumer looks: committed to the record for future sessions, republished for the reader. A delivered-but-unsaved result counts as not done.</w:t>
            </w:r>
          </w:p>
        </w:tc>
      </w:tr>
    </w:tbl>
    <w:p>
      <w:pPr>
        <w:pStyle w:val="Heading1"/>
        <w:keepNext/>
        <w:pBdr>
          <w:bottom w:val="single" w:color="9EB3C5" w:sz="8" w:space="4"/>
        </w:pBdr>
        <w:spacing w:after="100" w:before="280"/>
      </w:pPr>
      <w:r>
        <w:rPr>
          <w:rFonts w:ascii="Eurostile" w:cs="Eurostile" w:eastAsia="Eurostile" w:hAnsi="Eurostile"/>
          <w:b/>
          <w:bCs/>
          <w:color w:val="0F436E"/>
          <w:sz w:val="30"/>
          <w:szCs w:val="30"/>
        </w:rPr>
        <w:t xml:space="preserve">5. Controls: Machine Checks Over Checklists</w:t>
      </w:r>
    </w:p>
    <w:p>
      <w:pPr>
        <w:spacing w:after="120" w:before="0" w:line="276"/>
      </w:pPr>
      <w:r>
        <w:rPr>
          <w:rFonts w:ascii="Poppins" w:cs="Poppins" w:eastAsia="Poppins" w:hAnsi="Poppins"/>
          <w:color w:val="1A1A1A"/>
          <w:sz w:val="20"/>
          <w:szCs w:val="20"/>
        </w:rPr>
        <w:t xml:space="preserve">A rule the AI can skip will eventually be skipped. Each failure that recurred became a check that </w:t>
      </w:r>
      <w:r>
        <w:rPr>
          <w:rFonts w:ascii="Poppins" w:cs="Poppins" w:eastAsia="Poppins" w:hAnsi="Poppins"/>
          <w:b/>
          <w:bCs/>
          <w:color w:val="1A1A1A"/>
          <w:sz w:val="20"/>
          <w:szCs w:val="20"/>
        </w:rPr>
        <w:t xml:space="preserve">refuses</w:t>
      </w:r>
      <w:r>
        <w:rPr>
          <w:rFonts w:ascii="Poppins" w:cs="Poppins" w:eastAsia="Poppins" w:hAnsi="Poppins"/>
          <w:color w:val="1A1A1A"/>
          <w:sz w:val="20"/>
          <w:szCs w:val="20"/>
        </w:rPr>
        <w:t xml:space="preserve"> to proceed, rather than a reminder that asks. The operating principle for every control: </w:t>
      </w:r>
      <w:r>
        <w:rPr>
          <w:rFonts w:ascii="Poppins" w:cs="Poppins" w:eastAsia="Poppins" w:hAnsi="Poppins"/>
          <w:b/>
          <w:bCs/>
          <w:color w:val="1A1A1A"/>
          <w:sz w:val="20"/>
          <w:szCs w:val="20"/>
        </w:rPr>
        <w:t xml:space="preserve">if the gate refuses, fix the data, never the gate.</w:t>
      </w:r>
    </w:p>
    <w:tbl>
      <w:tblPr>
        <w:tblW w:type="dxa" w:w="964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3674"/>
        <w:gridCol w:w="3674"/>
      </w:tblGrid>
      <w:tr>
        <w:trPr>
          <w:tblHeader/>
        </w:trPr>
        <w:tc>
          <w:tcPr>
            <w:tcW w:type="dxa" w:w="23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Control</w:t>
            </w:r>
          </w:p>
        </w:tc>
        <w:tc>
          <w:tcPr>
            <w:tcW w:type="dxa" w:w="3674"/>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Refuses when</w:t>
            </w:r>
          </w:p>
        </w:tc>
        <w:tc>
          <w:tcPr>
            <w:tcW w:type="dxa" w:w="3674"/>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Origin</w:t>
            </w:r>
          </w:p>
        </w:tc>
      </w:tr>
      <w:tr>
        <w:trPr>
          <w:cantSplit/>
        </w:trPr>
        <w:tc>
          <w:tcPr>
            <w:tcW w:type="dxa" w:w="23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Provenance gate</w:t>
            </w:r>
          </w:p>
        </w:tc>
        <w:tc>
          <w:tcPr>
            <w:tcW w:type="dxa" w:w="3674"/>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Any record asserting a real-world fact lacks a source and a verification date. No output is built.</w:t>
            </w:r>
          </w:p>
        </w:tc>
        <w:tc>
          <w:tcPr>
            <w:tcW w:type="dxa" w:w="3674"/>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An audit found 39 of 220 records (17.7%) carried outdated facts filled from model memory (2026-07-13).</w:t>
            </w:r>
          </w:p>
        </w:tc>
      </w:tr>
      <w:tr>
        <w:trPr>
          <w:cantSplit/>
        </w:trPr>
        <w:tc>
          <w:tcPr>
            <w:tcW w:type="dxa" w:w="23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Publication gate</w:t>
            </w:r>
          </w:p>
        </w:tc>
        <w:tc>
          <w:tcPr>
            <w:tcW w:type="dxa" w:w="3674"/>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named fact in a published report lacks two sources or a single-source label.</w:t>
            </w:r>
          </w:p>
        </w:tc>
        <w:tc>
          <w:tcPr>
            <w:tcW w:type="dxa" w:w="3674"/>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garbled search summary put a wrong fact into a published report (2026-09-08).</w:t>
            </w:r>
          </w:p>
        </w:tc>
      </w:tr>
      <w:tr>
        <w:trPr>
          <w:cantSplit/>
        </w:trPr>
        <w:tc>
          <w:tcPr>
            <w:tcW w:type="dxa" w:w="23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Fail-closed build</w:t>
            </w:r>
          </w:p>
        </w:tc>
        <w:tc>
          <w:tcPr>
            <w:tcW w:type="dxa" w:w="3674"/>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The published artifact is regenerated by anything other than the validated pipeline, or without same-day validation. Hand edits are prohibited.</w:t>
            </w:r>
          </w:p>
        </w:tc>
        <w:tc>
          <w:tcPr>
            <w:tcW w:type="dxa" w:w="3674"/>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Adopted 2026-07-23; extended to cover republishing after the published view served 3-day-old data while every repository believed itself current (2026-07-27).</w:t>
            </w:r>
          </w:p>
        </w:tc>
      </w:tr>
      <w:tr>
        <w:trPr>
          <w:cantSplit/>
        </w:trPr>
        <w:tc>
          <w:tcPr>
            <w:tcW w:type="dxa" w:w="23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Reproducibility pins</w:t>
            </w:r>
          </w:p>
        </w:tc>
        <w:tc>
          <w:tcPr>
            <w:tcW w:type="dxa" w:w="3674"/>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dated analysis cannot be reproduced byte-for-byte from the input hashes it names.</w:t>
            </w:r>
          </w:p>
        </w:tc>
        <w:tc>
          <w:tcPr>
            <w:tcW w:type="dxa" w:w="3674"/>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Re-runs silently re-scoped dated numbers to newer data (2026-09-29).</w:t>
            </w:r>
          </w:p>
        </w:tc>
      </w:tr>
      <w:tr>
        <w:trPr>
          <w:cantSplit/>
        </w:trPr>
        <w:tc>
          <w:tcPr>
            <w:tcW w:type="dxa" w:w="23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Receipt gate</w:t>
            </w:r>
          </w:p>
        </w:tc>
        <w:tc>
          <w:tcPr>
            <w:tcW w:type="dxa" w:w="3674"/>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response claims inability ("couldn't verify") without naming an attempt and its failure.</w:t>
            </w:r>
          </w:p>
        </w:tc>
        <w:tc>
          <w:tcPr>
            <w:tcW w:type="dxa" w:w="3674"/>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Eight items reported as unverifiable had never been checked; all eight resolved when asked (2026-08-11).</w:t>
            </w:r>
          </w:p>
        </w:tc>
      </w:tr>
      <w:tr>
        <w:trPr>
          <w:cantSplit/>
        </w:trPr>
        <w:tc>
          <w:tcPr>
            <w:tcW w:type="dxa" w:w="23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Verification enforcement</w:t>
            </w:r>
          </w:p>
        </w:tc>
        <w:tc>
          <w:tcPr>
            <w:tcW w:type="dxa" w:w="3674"/>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task of the governed class finishes without the verification step loading. Validated in testing; not yet installed.</w:t>
            </w:r>
          </w:p>
        </w:tc>
        <w:tc>
          <w:tcPr>
            <w:tcW w:type="dxa" w:w="3674"/>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Verification applied "in spirit" but never actually run (2026-07-14).</w:t>
            </w:r>
          </w:p>
        </w:tc>
      </w:tr>
      <w:tr>
        <w:trPr>
          <w:cantSplit/>
        </w:trPr>
        <w:tc>
          <w:tcPr>
            <w:tcW w:type="dxa" w:w="23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Outside-reference check</w:t>
            </w:r>
          </w:p>
        </w:tc>
        <w:tc>
          <w:tcPr>
            <w:tcW w:type="dxa" w:w="3674"/>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recommendation repeats across many runs while sitting far from an independent outside reference, without an outside-source row.</w:t>
            </w:r>
          </w:p>
        </w:tc>
        <w:tc>
          <w:tcPr>
            <w:tcW w:type="dxa" w:w="3674"/>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system graded only on its own numbers cannot detect its own bias (2026-10-08).</w:t>
            </w:r>
          </w:p>
        </w:tc>
      </w:tr>
    </w:tbl>
    <w:p>
      <w:pPr>
        <w:spacing w:after="60"/>
      </w:pPr>
    </w:p>
    <w:tbl>
      <w:tblPr>
        <w:tblW w:type="dxa" w:w="964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48"/>
      </w:tblGrid>
      <w:tr>
        <w:tc>
          <w:tcPr>
            <w:tcW w:type="dxa" w:w="9648"/>
            <w:tcBorders>
              <w:top w:val="none" w:color="FFFFFF" w:sz="0"/>
              <w:left w:val="single" w:color="0F436E" w:sz="24"/>
              <w:bottom w:val="none" w:color="FFFFFF" w:sz="0"/>
              <w:right w:val="none" w:color="FFFFFF" w:sz="0"/>
            </w:tcBorders>
            <w:shd w:fill="EEF2F6" w:color="auto" w:val="clear"/>
            <w:tcMar>
              <w:top w:type="dxa" w:w="120"/>
              <w:left w:type="dxa" w:w="200"/>
              <w:bottom w:type="dxa" w:w="80"/>
              <w:right w:type="dxa" w:w="200"/>
            </w:tcMar>
          </w:tcPr>
          <w:p>
            <w:pPr>
              <w:spacing w:after="60" w:line="264"/>
            </w:pPr>
            <w:r>
              <w:rPr>
                <w:rFonts w:ascii="Poppins" w:cs="Poppins" w:eastAsia="Poppins" w:hAnsi="Poppins"/>
                <w:b/>
                <w:bCs/>
                <w:color w:val="1A1A1A"/>
                <w:sz w:val="19"/>
                <w:szCs w:val="19"/>
              </w:rPr>
              <w:t xml:space="preserve">Two design lessons the controls taught</w:t>
            </w:r>
          </w:p>
          <w:p>
            <w:pPr>
              <w:spacing w:after="60" w:line="264"/>
            </w:pPr>
            <w:r>
              <w:rPr>
                <w:rFonts w:ascii="Poppins" w:cs="Poppins" w:eastAsia="Poppins" w:hAnsi="Poppins"/>
                <w:b/>
                <w:bCs/>
                <w:color w:val="1A1A1A"/>
                <w:sz w:val="19"/>
                <w:szCs w:val="19"/>
              </w:rPr>
              <w:t xml:space="preserve">Enforce the action; never ask the AI to certify itself.</w:t>
            </w:r>
            <w:r>
              <w:rPr>
                <w:rFonts w:ascii="Poppins" w:cs="Poppins" w:eastAsia="Poppins" w:hAnsi="Poppins"/>
                <w:color w:val="1A1A1A"/>
                <w:sz w:val="19"/>
                <w:szCs w:val="19"/>
              </w:rPr>
              <w:t xml:space="preserve"> In a controlled test, asking the model to emit a receipt that it had verified produced 4 confabulated receipts; forcing the verification step to load produced 0 (2026-07-15).</w:t>
            </w:r>
          </w:p>
          <w:p>
            <w:pPr>
              <w:spacing w:after="60" w:line="264"/>
            </w:pPr>
            <w:r>
              <w:rPr>
                <w:rFonts w:ascii="Poppins" w:cs="Poppins" w:eastAsia="Poppins" w:hAnsi="Poppins"/>
                <w:b/>
                <w:bCs/>
                <w:color w:val="1A1A1A"/>
                <w:sz w:val="19"/>
                <w:szCs w:val="19"/>
              </w:rPr>
              <w:t xml:space="preserve">A receipt is owed per claim, not per session.</w:t>
            </w:r>
            <w:r>
              <w:rPr>
                <w:rFonts w:ascii="Poppins" w:cs="Poppins" w:eastAsia="Poppins" w:hAnsi="Poppins"/>
                <w:color w:val="1A1A1A"/>
                <w:sz w:val="19"/>
                <w:szCs w:val="19"/>
              </w:rPr>
              <w:t xml:space="preserve"> An early version of the receipt gate passed any response in which some lookup had run. Tested against the real incident, it let the failure through, because a few lookups had run before the shortcut was taken.</w:t>
            </w:r>
          </w:p>
        </w:tc>
      </w:tr>
    </w:tbl>
    <w:p>
      <w:pPr>
        <w:pStyle w:val="Heading1"/>
        <w:keepNext/>
        <w:pBdr>
          <w:bottom w:val="single" w:color="9EB3C5" w:sz="8" w:space="4"/>
        </w:pBdr>
        <w:spacing w:after="100" w:before="280"/>
      </w:pPr>
      <w:r>
        <w:rPr>
          <w:rFonts w:ascii="Eurostile" w:cs="Eurostile" w:eastAsia="Eurostile" w:hAnsi="Eurostile"/>
          <w:b/>
          <w:bCs/>
          <w:color w:val="0F436E"/>
          <w:sz w:val="30"/>
          <w:szCs w:val="30"/>
        </w:rPr>
        <w:t xml:space="preserve">6. Change Control for the Rules Themselves</w:t>
      </w:r>
    </w:p>
    <w:p>
      <w:pPr>
        <w:spacing w:after="120" w:before="0" w:line="276"/>
      </w:pPr>
      <w:r>
        <w:rPr>
          <w:rFonts w:ascii="Poppins" w:cs="Poppins" w:eastAsia="Poppins" w:hAnsi="Poppins"/>
          <w:color w:val="1A1A1A"/>
          <w:sz w:val="20"/>
          <w:szCs w:val="20"/>
        </w:rPr>
        <w:t xml:space="preserve">The rules are operational infrastructure and change under the same discipline as the work they govern.</w:t>
      </w:r>
    </w:p>
    <w:p>
      <w:pPr>
        <w:pStyle w:val="ListParagraph"/>
        <w:numPr>
          <w:ilvl w:val="0"/>
          <w:numId w:val="3"/>
        </w:numPr>
        <w:spacing w:after="70" w:line="264"/>
      </w:pPr>
      <w:r>
        <w:rPr>
          <w:rFonts w:ascii="Poppins" w:cs="Poppins" w:eastAsia="Poppins" w:hAnsi="Poppins"/>
          <w:b/>
          <w:bCs/>
          <w:color w:val="1A1A1A"/>
          <w:sz w:val="20"/>
          <w:szCs w:val="20"/>
        </w:rPr>
        <w:t xml:space="preserve">Pre-register before running.</w:t>
      </w:r>
      <w:r>
        <w:rPr>
          <w:rFonts w:ascii="Poppins" w:cs="Poppins" w:eastAsia="Poppins" w:hAnsi="Poppins"/>
          <w:color w:val="1A1A1A"/>
          <w:sz w:val="20"/>
          <w:szCs w:val="20"/>
        </w:rPr>
        <w:t xml:space="preserve"> A hypothesis, its exact wording, and its predicted outcome are written down before any test runs.</w:t>
      </w:r>
    </w:p>
    <w:p>
      <w:pPr>
        <w:pStyle w:val="ListParagraph"/>
        <w:numPr>
          <w:ilvl w:val="0"/>
          <w:numId w:val="3"/>
        </w:numPr>
        <w:spacing w:after="70" w:line="264"/>
      </w:pPr>
      <w:r>
        <w:rPr>
          <w:rFonts w:ascii="Poppins" w:cs="Poppins" w:eastAsia="Poppins" w:hAnsi="Poppins"/>
          <w:b/>
          <w:bCs/>
          <w:color w:val="1A1A1A"/>
          <w:sz w:val="20"/>
          <w:szCs w:val="20"/>
        </w:rPr>
        <w:t xml:space="preserve">One variable per experiment, two runs minimum.</w:t>
      </w:r>
      <w:r>
        <w:rPr>
          <w:rFonts w:ascii="Poppins" w:cs="Poppins" w:eastAsia="Poppins" w:hAnsi="Poppins"/>
          <w:color w:val="1A1A1A"/>
          <w:sz w:val="20"/>
          <w:szCs w:val="20"/>
        </w:rPr>
        <w:t xml:space="preserve"> A single good run is an anecdote.</w:t>
      </w:r>
    </w:p>
    <w:p>
      <w:pPr>
        <w:pStyle w:val="ListParagraph"/>
        <w:numPr>
          <w:ilvl w:val="0"/>
          <w:numId w:val="3"/>
        </w:numPr>
        <w:spacing w:after="70" w:line="264"/>
      </w:pPr>
      <w:r>
        <w:rPr>
          <w:rFonts w:ascii="Poppins" w:cs="Poppins" w:eastAsia="Poppins" w:hAnsi="Poppins"/>
          <w:b/>
          <w:bCs/>
          <w:color w:val="1A1A1A"/>
          <w:sz w:val="20"/>
          <w:szCs w:val="20"/>
        </w:rPr>
        <w:t xml:space="preserve">Positive findings replicate on unseen data before they headline.</w:t>
      </w:r>
      <w:r>
        <w:rPr>
          <w:rFonts w:ascii="Poppins" w:cs="Poppins" w:eastAsia="Poppins" w:hAnsi="Poppins"/>
          <w:color w:val="1A1A1A"/>
          <w:sz w:val="20"/>
          <w:szCs w:val="20"/>
        </w:rPr>
        <w:t xml:space="preserve"> One finding scored t = 3.06 on its original test set and t = 0.4 on fresh data; it was withdrawn. The refutations from the same run held.</w:t>
      </w:r>
    </w:p>
    <w:p>
      <w:pPr>
        <w:pStyle w:val="ListParagraph"/>
        <w:numPr>
          <w:ilvl w:val="0"/>
          <w:numId w:val="3"/>
        </w:numPr>
        <w:spacing w:after="70" w:line="264"/>
      </w:pPr>
      <w:r>
        <w:rPr>
          <w:rFonts w:ascii="Poppins" w:cs="Poppins" w:eastAsia="Poppins" w:hAnsi="Poppins"/>
          <w:b/>
          <w:bCs/>
          <w:color w:val="1A1A1A"/>
          <w:sz w:val="20"/>
          <w:szCs w:val="20"/>
        </w:rPr>
        <w:t xml:space="preserve">Any regression blocks acceptance.</w:t>
      </w:r>
      <w:r>
        <w:rPr>
          <w:rFonts w:ascii="Poppins" w:cs="Poppins" w:eastAsia="Poppins" w:hAnsi="Poppins"/>
          <w:color w:val="1A1A1A"/>
          <w:sz w:val="20"/>
          <w:szCs w:val="20"/>
        </w:rPr>
        <w:t xml:space="preserve"> A change that improves the target but breaks something adjacent is rejected, not shipped with a caveat.</w:t>
      </w:r>
    </w:p>
    <w:p>
      <w:pPr>
        <w:pStyle w:val="ListParagraph"/>
        <w:numPr>
          <w:ilvl w:val="0"/>
          <w:numId w:val="3"/>
        </w:numPr>
        <w:spacing w:after="70" w:line="264"/>
      </w:pPr>
      <w:r>
        <w:rPr>
          <w:rFonts w:ascii="Poppins" w:cs="Poppins" w:eastAsia="Poppins" w:hAnsi="Poppins"/>
          <w:b/>
          <w:bCs/>
          <w:color w:val="1A1A1A"/>
          <w:sz w:val="20"/>
          <w:szCs w:val="20"/>
        </w:rPr>
        <w:t xml:space="preserve">The owner sees before and after.</w:t>
      </w:r>
      <w:r>
        <w:rPr>
          <w:rFonts w:ascii="Poppins" w:cs="Poppins" w:eastAsia="Poppins" w:hAnsi="Poppins"/>
          <w:color w:val="1A1A1A"/>
          <w:sz w:val="20"/>
          <w:szCs w:val="20"/>
        </w:rPr>
        <w:t xml:space="preserve"> No finding becomes production behavior without the owner reviewing the comparison.</w:t>
      </w:r>
    </w:p>
    <w:p>
      <w:pPr>
        <w:pStyle w:val="ListParagraph"/>
        <w:numPr>
          <w:ilvl w:val="0"/>
          <w:numId w:val="3"/>
        </w:numPr>
        <w:spacing w:after="70" w:line="264"/>
      </w:pPr>
      <w:r>
        <w:rPr>
          <w:rFonts w:ascii="Poppins" w:cs="Poppins" w:eastAsia="Poppins" w:hAnsi="Poppins"/>
          <w:b/>
          <w:bCs/>
          <w:color w:val="1A1A1A"/>
          <w:sz w:val="20"/>
          <w:szCs w:val="20"/>
        </w:rPr>
        <w:t xml:space="preserve">Failures go in an append-only ledger.</w:t>
      </w:r>
      <w:r>
        <w:rPr>
          <w:rFonts w:ascii="Poppins" w:cs="Poppins" w:eastAsia="Poppins" w:hAnsi="Poppins"/>
          <w:color w:val="1A1A1A"/>
          <w:sz w:val="20"/>
          <w:szCs w:val="20"/>
        </w:rPr>
        <w:t xml:space="preserve"> Symptom, root cause, evidence, status. Entries are never renumbered, because other documents cite them.</w:t>
      </w:r>
    </w:p>
    <w:p>
      <w:pPr>
        <w:pStyle w:val="ListParagraph"/>
        <w:numPr>
          <w:ilvl w:val="0"/>
          <w:numId w:val="3"/>
        </w:numPr>
        <w:spacing w:after="70" w:line="264"/>
      </w:pPr>
      <w:r>
        <w:rPr>
          <w:rFonts w:ascii="Poppins" w:cs="Poppins" w:eastAsia="Poppins" w:hAnsi="Poppins"/>
          <w:b/>
          <w:bCs/>
          <w:color w:val="1A1A1A"/>
          <w:sz w:val="20"/>
          <w:szCs w:val="20"/>
        </w:rPr>
        <w:t xml:space="preserve">Deployed instructions are diffed against the record.</w:t>
      </w:r>
      <w:r>
        <w:rPr>
          <w:rFonts w:ascii="Poppins" w:cs="Poppins" w:eastAsia="Poppins" w:hAnsi="Poppins"/>
          <w:color w:val="1A1A1A"/>
          <w:sz w:val="20"/>
          <w:szCs w:val="20"/>
        </w:rPr>
        <w:t xml:space="preserve"> A validated rule was lost when an instruction block authored from an outdated copy was pasted over the live one (found 2026-08-12). The live setting is the truth; the stored copy is only a record of it.</w:t>
      </w:r>
    </w:p>
    <w:p>
      <w:pPr>
        <w:pStyle w:val="Heading1"/>
        <w:keepNext/>
        <w:pBdr>
          <w:bottom w:val="single" w:color="9EB3C5" w:sz="8" w:space="4"/>
        </w:pBdr>
        <w:spacing w:after="100" w:before="280"/>
      </w:pPr>
      <w:r>
        <w:rPr>
          <w:rFonts w:ascii="Eurostile" w:cs="Eurostile" w:eastAsia="Eurostile" w:hAnsi="Eurostile"/>
          <w:b/>
          <w:bCs/>
          <w:color w:val="0F436E"/>
          <w:sz w:val="30"/>
          <w:szCs w:val="30"/>
        </w:rPr>
        <w:t xml:space="preserve">7. Evidence and Honest Status</w:t>
      </w:r>
    </w:p>
    <w:p>
      <w:pPr>
        <w:spacing w:after="120" w:before="0" w:line="276"/>
      </w:pPr>
      <w:r>
        <w:rPr>
          <w:rFonts w:ascii="Poppins" w:cs="Poppins" w:eastAsia="Poppins" w:hAnsi="Poppins"/>
          <w:color w:val="1A1A1A"/>
          <w:sz w:val="20"/>
          <w:szCs w:val="20"/>
        </w:rPr>
        <w:t xml:space="preserve">Counts were measured from the source repositories on October 9, 2026. Measured results carry their test date and sample size. Items not yet proven are listed as such, because a standard that overstates its own evidence would violate Law L6.</w:t>
      </w:r>
    </w:p>
    <w:p>
      <w:pPr>
        <w:pStyle w:val="Heading2"/>
        <w:keepNext/>
        <w:spacing w:after="80" w:before="200"/>
      </w:pPr>
      <w:r>
        <w:rPr>
          <w:rFonts w:ascii="Eurostile" w:cs="Eurostile" w:eastAsia="Eurostile" w:hAnsi="Eurostile"/>
          <w:b/>
          <w:bCs/>
          <w:color w:val="0F436E"/>
          <w:sz w:val="23"/>
          <w:szCs w:val="23"/>
        </w:rPr>
        <w:t xml:space="preserve">What was built (July to October 2026)</w:t>
      </w:r>
    </w:p>
    <w:tbl>
      <w:tblPr>
        <w:tblW w:type="dxa" w:w="964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948"/>
        <w:gridCol w:w="3100"/>
      </w:tblGrid>
      <w:tr>
        <w:trPr>
          <w:tblHeader/>
        </w:trPr>
        <w:tc>
          <w:tcPr>
            <w:tcW w:type="dxa" w:w="26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System</w:t>
            </w:r>
          </w:p>
        </w:tc>
        <w:tc>
          <w:tcPr>
            <w:tcW w:type="dxa" w:w="3948"/>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Scope</w:t>
            </w:r>
          </w:p>
        </w:tc>
        <w:tc>
          <w:tcPr>
            <w:tcW w:type="dxa" w:w="31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Measured on 2026-10-09</w:t>
            </w:r>
          </w:p>
        </w:tc>
      </w:tr>
      <w:tr>
        <w:trPr>
          <w:cantSplit/>
        </w:trPr>
        <w:tc>
          <w:tcPr>
            <w:tcW w:type="dxa" w:w="26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Governance library</w:t>
            </w:r>
          </w:p>
        </w:tc>
        <w:tc>
          <w:tcPr>
            <w:tcW w:type="dxa" w:w="39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Reusable instruction modules for planning, verification, scope, reporting, and maintenance of the library itself</w:t>
            </w:r>
          </w:p>
        </w:tc>
        <w:tc>
          <w:tcPr>
            <w:tcW w:type="dxa" w:w="31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21 modules; 30 ledger entries; 19 pre-registered experiments; 20 evaluation sets</w:t>
            </w:r>
          </w:p>
        </w:tc>
      </w:tr>
      <w:tr>
        <w:trPr>
          <w:cantSplit/>
        </w:trPr>
        <w:tc>
          <w:tcPr>
            <w:tcW w:type="dxa" w:w="26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Domain system: research and data pipeline</w:t>
            </w:r>
          </w:p>
        </w:tc>
        <w:tc>
          <w:tcPr>
            <w:tcW w:type="dxa" w:w="39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Recurring research pulls with dated after-reports and mechanical publication gates</w:t>
            </w:r>
          </w:p>
        </w:tc>
        <w:tc>
          <w:tcPr>
            <w:tcW w:type="dxa" w:w="31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84 after-reports; 70 logged data pulls; 3 gate scripts</w:t>
            </w:r>
          </w:p>
        </w:tc>
      </w:tr>
      <w:tr>
        <w:trPr>
          <w:cantSplit/>
        </w:trPr>
        <w:tc>
          <w:tcPr>
            <w:tcW w:type="dxa" w:w="26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Domain system: live decision tool</w:t>
            </w:r>
          </w:p>
        </w:tc>
        <w:tc>
          <w:tcPr>
            <w:tcW w:type="dxa" w:w="39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Time-boxed live decision support, practice simulations, and a published decision board</w:t>
            </w:r>
          </w:p>
        </w:tc>
        <w:tc>
          <w:tcPr>
            <w:tcW w:type="dxa" w:w="31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49 graded practice debriefs; 23 numbered lessons; 8 build and check scripts</w:t>
            </w:r>
          </w:p>
        </w:tc>
      </w:tr>
    </w:tbl>
    <w:p>
      <w:pPr>
        <w:spacing w:after="120" w:before="120" w:line="276"/>
      </w:pPr>
      <w:r>
        <w:rPr>
          <w:rFonts w:ascii="Poppins" w:cs="Poppins" w:eastAsia="Poppins" w:hAnsi="Poppins"/>
          <w:color w:val="1A1A1A"/>
          <w:sz w:val="20"/>
          <w:szCs w:val="20"/>
        </w:rPr>
        <w:t xml:space="preserve">The domain system is a fantasy sports analytics project. It was chosen as the proving ground because it has every property that breaks AI assistants: facts that change daily, live decisions under a clock, numbers that can be checked against reality, and an owner who audits the output.</w:t>
      </w:r>
    </w:p>
    <w:p>
      <w:pPr>
        <w:pStyle w:val="Heading2"/>
        <w:keepNext/>
        <w:spacing w:after="80" w:before="200"/>
      </w:pPr>
      <w:r>
        <w:rPr>
          <w:rFonts w:ascii="Eurostile" w:cs="Eurostile" w:eastAsia="Eurostile" w:hAnsi="Eurostile"/>
          <w:b/>
          <w:bCs/>
          <w:color w:val="0F436E"/>
          <w:sz w:val="23"/>
          <w:szCs w:val="23"/>
        </w:rPr>
        <w:t xml:space="preserve">What is measured</w:t>
      </w:r>
    </w:p>
    <w:tbl>
      <w:tblPr>
        <w:tblW w:type="dxa" w:w="964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48"/>
        <w:gridCol w:w="1500"/>
        <w:gridCol w:w="2500"/>
      </w:tblGrid>
      <w:tr>
        <w:trPr>
          <w:tblHeader/>
        </w:trPr>
        <w:tc>
          <w:tcPr>
            <w:tcW w:type="dxa" w:w="5648"/>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Result</w:t>
            </w:r>
          </w:p>
        </w:tc>
        <w:tc>
          <w:tcPr>
            <w:tcW w:type="dxa" w:w="15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Date</w:t>
            </w:r>
          </w:p>
        </w:tc>
        <w:tc>
          <w:tcPr>
            <w:tcW w:type="dxa" w:w="25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Strength</w:t>
            </w:r>
          </w:p>
        </w:tc>
      </w:tr>
      <w:tr>
        <w:trPr>
          <w:cantSplit/>
        </w:trPr>
        <w:tc>
          <w:tcPr>
            <w:tcW w:type="dxa" w:w="56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An always-on instruction loaded the verification step in 5 of 6 test runs on qualifying tasks (about 83%), with 0 of 6 false triggers on trivial or casual prompts</w:t>
            </w:r>
          </w:p>
        </w:tc>
        <w:tc>
          <w:tcPr>
            <w:tcW w:type="dxa" w:w="15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2026-07-16</w:t>
            </w:r>
          </w:p>
        </w:tc>
        <w:tc>
          <w:tcPr>
            <w:tcW w:type="dxa" w:w="25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Measured on a test harness approximating the chat surface; 3 runs per prompt</w:t>
            </w:r>
          </w:p>
        </w:tc>
      </w:tr>
      <w:tr>
        <w:trPr>
          <w:cantSplit/>
        </w:trPr>
        <w:tc>
          <w:tcPr>
            <w:tcW w:type="dxa" w:w="56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60 automated trigger runs across four modules produced zero false triggers</w:t>
            </w:r>
          </w:p>
        </w:tc>
        <w:tc>
          <w:tcPr>
            <w:tcW w:type="dxa" w:w="15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2026-08-03</w:t>
            </w:r>
          </w:p>
        </w:tc>
        <w:tc>
          <w:tcPr>
            <w:tcW w:type="dxa" w:w="25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Measured</w:t>
            </w:r>
          </w:p>
        </w:tc>
      </w:tr>
      <w:tr>
        <w:trPr>
          <w:cantSplit/>
        </w:trPr>
        <w:tc>
          <w:tcPr>
            <w:tcW w:type="dxa" w:w="56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Verification enforcement moved the verification step from 0 of 3 to 3 of 3 runs on the prompt that originally failed</w:t>
            </w:r>
          </w:p>
        </w:tc>
        <w:tc>
          <w:tcPr>
            <w:tcW w:type="dxa" w:w="15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2026-07-15</w:t>
            </w:r>
          </w:p>
        </w:tc>
        <w:tc>
          <w:tcPr>
            <w:tcW w:type="dxa" w:w="25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Measured; not yet re-tested on the current tool version</w:t>
            </w:r>
          </w:p>
        </w:tc>
      </w:tr>
      <w:tr>
        <w:trPr>
          <w:cantSplit/>
        </w:trPr>
        <w:tc>
          <w:tcPr>
            <w:tcW w:type="dxa" w:w="56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Receipt gate passed 10 of 10 self-tests twice, and blocked its first live unreceipted claim</w:t>
            </w:r>
          </w:p>
        </w:tc>
        <w:tc>
          <w:tcPr>
            <w:tcW w:type="dxa" w:w="15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2026-08-26</w:t>
            </w:r>
          </w:p>
        </w:tc>
        <w:tc>
          <w:tcPr>
            <w:tcW w:type="dxa" w:w="25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Existence proof; not yet a rate</w:t>
            </w:r>
          </w:p>
        </w:tc>
      </w:tr>
      <w:tr>
        <w:trPr>
          <w:cantSplit/>
        </w:trPr>
        <w:tc>
          <w:tcPr>
            <w:tcW w:type="dxa" w:w="56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Retired confidence percentages: the top recommendation never left a 50 to 88 band across 45 cards, and a mandated "coin flip" tag was missed on 8 of 32 turns where its own rule fired</w:t>
            </w:r>
          </w:p>
        </w:tc>
        <w:tc>
          <w:tcPr>
            <w:tcW w:type="dxa" w:w="15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2026-08-09</w:t>
            </w:r>
          </w:p>
        </w:tc>
        <w:tc>
          <w:tcPr>
            <w:tcW w:type="dxa" w:w="25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Measured; the format was retired as uncalibrated</w:t>
            </w:r>
          </w:p>
        </w:tc>
      </w:tr>
      <w:tr>
        <w:trPr>
          <w:cantSplit/>
        </w:trPr>
        <w:tc>
          <w:tcPr>
            <w:tcW w:type="dxa" w:w="56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With the state handshake (H3) on every write, a 158-step live session produced zero double-logged entries, after a prior session corrupted 4 entries without it</w:t>
            </w:r>
          </w:p>
        </w:tc>
        <w:tc>
          <w:tcPr>
            <w:tcW w:type="dxa" w:w="15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2026-07-12</w:t>
            </w:r>
          </w:p>
        </w:tc>
        <w:tc>
          <w:tcPr>
            <w:tcW w:type="dxa" w:w="25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Measured; one session each, before and after</w:t>
            </w:r>
          </w:p>
        </w:tc>
      </w:tr>
      <w:tr>
        <w:trPr>
          <w:cantSplit/>
        </w:trPr>
        <w:tc>
          <w:tcPr>
            <w:tcW w:type="dxa" w:w="56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Real availability was far below the model's assumption: injury-risk players played 51% of games versus 75% assumed</w:t>
            </w:r>
          </w:p>
        </w:tc>
        <w:tc>
          <w:tcPr>
            <w:tcW w:type="dxa" w:w="15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2026-07-12</w:t>
            </w:r>
          </w:p>
        </w:tc>
        <w:tc>
          <w:tcPr>
            <w:tcW w:type="dxa" w:w="25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Measured against public records; model recalibrated</w:t>
            </w:r>
          </w:p>
        </w:tc>
      </w:tr>
    </w:tbl>
    <w:p>
      <w:pPr>
        <w:pStyle w:val="Heading2"/>
        <w:keepNext/>
        <w:spacing w:after="80" w:before="200"/>
      </w:pPr>
      <w:r>
        <w:rPr>
          <w:rFonts w:ascii="Eurostile" w:cs="Eurostile" w:eastAsia="Eurostile" w:hAnsi="Eurostile"/>
          <w:b/>
          <w:bCs/>
          <w:color w:val="0F436E"/>
          <w:sz w:val="23"/>
          <w:szCs w:val="23"/>
        </w:rPr>
        <w:t xml:space="preserve">What is not yet proven</w:t>
      </w:r>
    </w:p>
    <w:p>
      <w:pPr>
        <w:pStyle w:val="ListParagraph"/>
        <w:numPr>
          <w:ilvl w:val="0"/>
          <w:numId w:val="3"/>
        </w:numPr>
        <w:spacing w:after="70" w:line="264"/>
      </w:pPr>
      <w:r>
        <w:rPr>
          <w:rFonts w:ascii="Poppins" w:cs="Poppins" w:eastAsia="Poppins" w:hAnsi="Poppins"/>
          <w:b/>
          <w:bCs/>
          <w:color w:val="1A1A1A"/>
          <w:sz w:val="20"/>
          <w:szCs w:val="20"/>
        </w:rPr>
        <w:t xml:space="preserve">Behavioral value for most modules is unmeasured.</w:t>
      </w:r>
      <w:r>
        <w:rPr>
          <w:rFonts w:ascii="Poppins" w:cs="Poppins" w:eastAsia="Poppins" w:hAnsi="Poppins"/>
          <w:color w:val="1A1A1A"/>
          <w:sz w:val="20"/>
          <w:szCs w:val="20"/>
        </w:rPr>
        <w:t xml:space="preserve"> Every module passes structural checks and several have measured trigger rates, but whether each one changes outcomes has not been tested for all of them.</w:t>
      </w:r>
    </w:p>
    <w:p>
      <w:pPr>
        <w:pStyle w:val="ListParagraph"/>
        <w:numPr>
          <w:ilvl w:val="0"/>
          <w:numId w:val="3"/>
        </w:numPr>
        <w:spacing w:after="70" w:line="264"/>
      </w:pPr>
      <w:r>
        <w:rPr>
          <w:rFonts w:ascii="Poppins" w:cs="Poppins" w:eastAsia="Poppins" w:hAnsi="Poppins"/>
          <w:b/>
          <w:bCs/>
          <w:color w:val="1A1A1A"/>
          <w:sz w:val="20"/>
          <w:szCs w:val="20"/>
        </w:rPr>
        <w:t xml:space="preserve">Two recent rules are unmeasured:</w:t>
      </w:r>
      <w:r>
        <w:rPr>
          <w:rFonts w:ascii="Poppins" w:cs="Poppins" w:eastAsia="Poppins" w:hAnsi="Poppins"/>
          <w:color w:val="1A1A1A"/>
          <w:sz w:val="20"/>
          <w:szCs w:val="20"/>
        </w:rPr>
        <w:t xml:space="preserve"> showing the plan before the work (added 2026-08-20) and the named sequence as a standalone module.</w:t>
      </w:r>
    </w:p>
    <w:p>
      <w:pPr>
        <w:pStyle w:val="ListParagraph"/>
        <w:numPr>
          <w:ilvl w:val="0"/>
          <w:numId w:val="3"/>
        </w:numPr>
        <w:spacing w:after="70" w:line="264"/>
      </w:pPr>
      <w:r>
        <w:rPr>
          <w:rFonts w:ascii="Poppins" w:cs="Poppins" w:eastAsia="Poppins" w:hAnsi="Poppins"/>
          <w:b/>
          <w:bCs/>
          <w:color w:val="1A1A1A"/>
          <w:sz w:val="20"/>
          <w:szCs w:val="20"/>
        </w:rPr>
        <w:t xml:space="preserve">One rule showed no benefit on top-tier models:</w:t>
      </w:r>
      <w:r>
        <w:rPr>
          <w:rFonts w:ascii="Poppins" w:cs="Poppins" w:eastAsia="Poppins" w:hAnsi="Poppins"/>
          <w:color w:val="1A1A1A"/>
          <w:sz w:val="20"/>
          <w:szCs w:val="20"/>
        </w:rPr>
        <w:t xml:space="preserve"> the no-silent-defaults law. Those models already surfaced ambiguity without it. It is retained as low-cost insurance and has never caused a regression.</w:t>
      </w:r>
    </w:p>
    <w:p>
      <w:pPr>
        <w:pStyle w:val="ListParagraph"/>
        <w:numPr>
          <w:ilvl w:val="0"/>
          <w:numId w:val="3"/>
        </w:numPr>
        <w:spacing w:after="70" w:line="264"/>
      </w:pPr>
      <w:r>
        <w:rPr>
          <w:rFonts w:ascii="Poppins" w:cs="Poppins" w:eastAsia="Poppins" w:hAnsi="Poppins"/>
          <w:b/>
          <w:bCs/>
          <w:color w:val="1A1A1A"/>
          <w:sz w:val="20"/>
          <w:szCs w:val="20"/>
        </w:rPr>
        <w:t xml:space="preserve">Mechanical enforcement exists on one surface only.</w:t>
      </w:r>
      <w:r>
        <w:rPr>
          <w:rFonts w:ascii="Poppins" w:cs="Poppins" w:eastAsia="Poppins" w:hAnsi="Poppins"/>
          <w:color w:val="1A1A1A"/>
          <w:sz w:val="20"/>
          <w:szCs w:val="20"/>
        </w:rPr>
        <w:t xml:space="preserve"> The command-line environment supports enforcement hooks; the chat environment relies on instruction text alone.</w:t>
      </w:r>
    </w:p>
    <w:p>
      <w:r>
        <w:br w:type="page"/>
      </w:r>
    </w:p>
    <w:p>
      <w:pPr>
        <w:pStyle w:val="Heading1"/>
        <w:keepNext/>
        <w:pBdr>
          <w:bottom w:val="single" w:color="9EB3C5" w:sz="8" w:space="4"/>
        </w:pBdr>
        <w:spacing w:after="100" w:before="280"/>
      </w:pPr>
      <w:r>
        <w:rPr>
          <w:rFonts w:ascii="Eurostile" w:cs="Eurostile" w:eastAsia="Eurostile" w:hAnsi="Eurostile"/>
          <w:b/>
          <w:bCs/>
          <w:color w:val="0F436E"/>
          <w:sz w:val="30"/>
          <w:szCs w:val="30"/>
        </w:rPr>
        <w:t xml:space="preserve">Appendix A. Applying the Standard to Compliance and Proposal Work</w:t>
      </w:r>
    </w:p>
    <w:p>
      <w:pPr>
        <w:spacing w:after="120" w:before="0" w:line="276"/>
      </w:pPr>
      <w:r>
        <w:rPr>
          <w:rFonts w:ascii="Poppins" w:cs="Poppins" w:eastAsia="Poppins" w:hAnsi="Poppins"/>
          <w:b/>
          <w:bCs/>
          <w:color w:val="4A4A4A"/>
          <w:sz w:val="20"/>
          <w:szCs w:val="20"/>
        </w:rPr>
        <w:t xml:space="preserve">Illustrative only.</w:t>
      </w:r>
      <w:r>
        <w:rPr>
          <w:rFonts w:ascii="Poppins" w:cs="Poppins" w:eastAsia="Poppins" w:hAnsi="Poppins"/>
          <w:color w:val="4A4A4A"/>
          <w:sz w:val="20"/>
          <w:szCs w:val="20"/>
        </w:rPr>
        <w:t xml:space="preserve"> The examples below show how each rule would read in a compliance or proposal workflow. They are not observations of any existing system.</w:t>
      </w:r>
    </w:p>
    <w:tbl>
      <w:tblPr>
        <w:tblW w:type="dxa" w:w="964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748"/>
      </w:tblGrid>
      <w:tr>
        <w:trPr>
          <w:tblHeader/>
        </w:trPr>
        <w:tc>
          <w:tcPr>
            <w:tcW w:type="dxa" w:w="19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Rule</w:t>
            </w:r>
          </w:p>
        </w:tc>
        <w:tc>
          <w:tcPr>
            <w:tcW w:type="dxa" w:w="7748"/>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In a compliance or proposal workflow</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L1, L3</w:t>
            </w:r>
          </w:p>
        </w:tc>
        <w:tc>
          <w:tcPr>
            <w:tcW w:type="dxa" w:w="77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regulatory clause or standard cited in a response is retrieved from the official source during the session and cited with its revision and access date. A clause reproduced from model memory is a defect.</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L2</w:t>
            </w:r>
          </w:p>
        </w:tc>
        <w:tc>
          <w:tcPr>
            <w:tcW w:type="dxa" w:w="77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compliance coverage figure states its origin: "computed from the compliance matrix, N of M rows mapped," never an unexplained percentage.</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L4</w:t>
            </w:r>
          </w:p>
        </w:tc>
        <w:tc>
          <w:tcPr>
            <w:tcW w:type="dxa" w:w="77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"Requirement not found" names the documents and sections searched. If no search ran, the response says "did not check."</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L5</w:t>
            </w:r>
          </w:p>
        </w:tc>
        <w:tc>
          <w:tcPr>
            <w:tcW w:type="dxa" w:w="77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Requirement counts and compliance matrices are built from text extracted from the solicitation, for example its instructions and evaluation criteria (Sections L and M in a Uniform Contract Format solicitation). They are never built from a summary or from recall.</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L8</w:t>
            </w:r>
          </w:p>
        </w:tc>
        <w:tc>
          <w:tcPr>
            <w:tcW w:type="dxa" w:w="77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reviewer asked to check Volume II flags a problem found in Volume I in one line. It does not rewrite Volume I.</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H3</w:t>
            </w:r>
          </w:p>
        </w:tc>
        <w:tc>
          <w:tcPr>
            <w:tcW w:type="dxa" w:w="77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Before editing a proposal section, the AI states which version it believes is current. On mismatch, it writes nothing and reconciles.</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H9</w:t>
            </w:r>
          </w:p>
        </w:tc>
        <w:tc>
          <w:tcPr>
            <w:tcW w:type="dxa" w:w="77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Every open item from the last color-team review carries a receipt in the next review: what was checked and what was found.</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Provenance gate</w:t>
            </w:r>
          </w:p>
        </w:tc>
        <w:tc>
          <w:tcPr>
            <w:tcW w:type="dxa" w:w="77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No compliance matrix is published unless every row maps to a solicitation paragraph reference. A row without one blocks the build.</w:t>
            </w:r>
          </w:p>
        </w:tc>
      </w:tr>
    </w:tbl>
    <w:p>
      <w:pPr>
        <w:pStyle w:val="Heading1"/>
        <w:keepNext/>
        <w:pBdr>
          <w:bottom w:val="single" w:color="9EB3C5" w:sz="8" w:space="4"/>
        </w:pBdr>
        <w:spacing w:after="100" w:before="280"/>
      </w:pPr>
      <w:r>
        <w:rPr>
          <w:rFonts w:ascii="Eurostile" w:cs="Eurostile" w:eastAsia="Eurostile" w:hAnsi="Eurostile"/>
          <w:b/>
          <w:bCs/>
          <w:color w:val="0F436E"/>
          <w:sz w:val="30"/>
          <w:szCs w:val="30"/>
        </w:rPr>
        <w:t xml:space="preserve">Appendix B. Provenance</w:t>
      </w:r>
    </w:p>
    <w:p>
      <w:pPr>
        <w:spacing w:after="120" w:before="0" w:line="276"/>
      </w:pPr>
      <w:r>
        <w:rPr>
          <w:rFonts w:ascii="Poppins" w:cs="Poppins" w:eastAsia="Poppins" w:hAnsi="Poppins"/>
          <w:color w:val="1A1A1A"/>
          <w:sz w:val="20"/>
          <w:szCs w:val="20"/>
        </w:rPr>
        <w:t xml:space="preserve">Each rule's origin in the working record. Dates are when the failure occurred or the rule was adopted. Incident identifiers refer to the append-only ledgers in the source repositories.</w:t>
      </w:r>
    </w:p>
    <w:tbl>
      <w:tblPr>
        <w:tblW w:type="dxa" w:w="964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5848"/>
        <w:gridCol w:w="1900"/>
      </w:tblGrid>
      <w:tr>
        <w:trPr>
          <w:tblHeader/>
        </w:trPr>
        <w:tc>
          <w:tcPr>
            <w:tcW w:type="dxa" w:w="19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Rule</w:t>
            </w:r>
          </w:p>
        </w:tc>
        <w:tc>
          <w:tcPr>
            <w:tcW w:type="dxa" w:w="5848"/>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Origin</w:t>
            </w:r>
          </w:p>
        </w:tc>
        <w:tc>
          <w:tcPr>
            <w:tcW w:type="dxa" w:w="19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Date</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L1, L3</w:t>
            </w:r>
          </w:p>
        </w:tc>
        <w:tc>
          <w:tcPr>
            <w:tcW w:type="dxa" w:w="58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Data policy written after 39 of 220 records were found filled from model memory; two-source rule for any fact that moves a valuation</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2026-07-13</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L2, L6</w:t>
            </w:r>
          </w:p>
        </w:tc>
        <w:tc>
          <w:tcPr>
            <w:tcW w:type="dxa" w:w="58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Operating principles written because a prior tool invented statistics, version numbers, and "monitoring agents"</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2026-07-13</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L4, L5</w:t>
            </w:r>
          </w:p>
        </w:tc>
        <w:tc>
          <w:tcPr>
            <w:tcW w:type="dxa" w:w="58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INC-9: "couldn't verify" written about eight items never attempted; a tally built partly from recall inverted its own conclusion</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2026-08-11</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L6</w:t>
            </w:r>
          </w:p>
        </w:tc>
        <w:tc>
          <w:tcPr>
            <w:tcW w:type="dxa" w:w="58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Confidence percentages retired after measurement showed no calibration</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2026-08-09</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L7</w:t>
            </w:r>
          </w:p>
        </w:tc>
        <w:tc>
          <w:tcPr>
            <w:tcW w:type="dxa" w:w="58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No-silent-defaults law, adopted from a cross-model comparison</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2026-07-15</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L8</w:t>
            </w:r>
          </w:p>
        </w:tc>
        <w:tc>
          <w:tcPr>
            <w:tcW w:type="dxa" w:w="58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Scope fence; flag-don't-fix</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2026-07-11</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L9</w:t>
            </w:r>
          </w:p>
        </w:tc>
        <w:tc>
          <w:tcPr>
            <w:tcW w:type="dxa" w:w="58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Operating principle written because a prior tool over-validated every decision; "commit to one recommendation" rule</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2026-07-11, 2026-07-13</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L10</w:t>
            </w:r>
          </w:p>
        </w:tc>
        <w:tc>
          <w:tcPr>
            <w:tcW w:type="dxa" w:w="58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Anti-ceremony law; pinned by a test case that must answer a one-line question directly</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2026-07-11</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Step 1</w:t>
            </w:r>
          </w:p>
        </w:tc>
        <w:tc>
          <w:tcPr>
            <w:tcW w:type="dxa" w:w="58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Plan shown before the work, after a plan was produced but delivered only inside the final report (INC-2026-08-19-01)</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2026-08-20</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Step 2, H1</w:t>
            </w:r>
          </w:p>
        </w:tc>
        <w:tc>
          <w:tcPr>
            <w:tcW w:type="dxa" w:w="58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Daily freshness protocol: a verification card before any analysis, never emitted without the checks behind it</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2026-07-13</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Step 4</w:t>
            </w:r>
          </w:p>
        </w:tc>
        <w:tc>
          <w:tcPr>
            <w:tcW w:type="dxa" w:w="58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Six-step adversarial pass; gap audit added after INC-9</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2026-07-11, 2026-08-11</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Step 5</w:t>
            </w:r>
          </w:p>
        </w:tc>
        <w:tc>
          <w:tcPr>
            <w:tcW w:type="dxa" w:w="58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Report format standard: method first, evidence versus inference marked, decisions left to the owner</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2026-08-03</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Step 6, H10</w:t>
            </w:r>
          </w:p>
        </w:tc>
        <w:tc>
          <w:tcPr>
            <w:tcW w:type="dxa" w:w="58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data pull that was never saved; a published view left stale while every repository believed itself current</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2026-07-24, 2026-07-27</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Step 7</w:t>
            </w:r>
          </w:p>
        </w:tc>
        <w:tc>
          <w:tcPr>
            <w:tcW w:type="dxa" w:w="58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Named sequence adopted, ending with the list of gates that actually ran, after a validated rule was lost from the instruction block (INC-11)</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2026-08-12</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H2</w:t>
            </w:r>
          </w:p>
        </w:tc>
        <w:tc>
          <w:tcPr>
            <w:tcW w:type="dxa" w:w="58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158-step practice session in which the operation's total length was discovered only at the end</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2026-07-12</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H3, H6</w:t>
            </w:r>
          </w:p>
        </w:tc>
        <w:tc>
          <w:tcPr>
            <w:tcW w:type="dxa" w:w="58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127-step live simulation in which a lost tool result led to double-logged entries and common names were mismatched</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2026-07-12</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H5</w:t>
            </w:r>
          </w:p>
        </w:tc>
        <w:tc>
          <w:tcPr>
            <w:tcW w:type="dxa" w:w="58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Corrections rule learned in live use: a repeated input is skipped, never treated as a correction</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2026-07-11</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H4</w:t>
            </w:r>
          </w:p>
        </w:tc>
        <w:tc>
          <w:tcPr>
            <w:tcW w:type="dxa" w:w="58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Two surfaces ranked by different objectives disagreed on the top answer in 19 of 26 turns</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2026-08-09</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H7</w:t>
            </w:r>
          </w:p>
        </w:tc>
        <w:tc>
          <w:tcPr>
            <w:tcW w:type="dxa" w:w="58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Recovery commands made single-step, with the prior state preserved for rollback</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2026-08-09</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H8</w:t>
            </w:r>
          </w:p>
        </w:tc>
        <w:tc>
          <w:tcPr>
            <w:tcW w:type="dxa" w:w="58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Speed rule for a 45-second decision clock: one command per turn, no side research</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by 2026-07-12</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H9</w:t>
            </w:r>
          </w:p>
        </w:tc>
        <w:tc>
          <w:tcPr>
            <w:tcW w:type="dxa" w:w="58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The same missed item recurred because a hand-run checklist was skippable</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2026-09-08</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Controls</w:t>
            </w:r>
          </w:p>
        </w:tc>
        <w:tc>
          <w:tcPr>
            <w:tcW w:type="dxa" w:w="58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See the Origin column in Section 5</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2026-07-13 to 2026-10-08</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Change control</w:t>
            </w:r>
          </w:p>
        </w:tc>
        <w:tc>
          <w:tcPr>
            <w:tcW w:type="dxa" w:w="58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Withdrawn finding (t = 3.06 to t = 0.4 on fresh data); lost instruction rule (INC-11)</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2026-07-12, 2026-08-12</w:t>
            </w:r>
          </w:p>
        </w:tc>
      </w:tr>
    </w:tbl>
    <w:sectPr>
      <w:footerReference w:type="default" r:id="rId7"/>
      <w:pgSz w:w="12240" w:h="15840" w:orient="portrait"/>
      <w:pgMar w:top="1152" w:right="1296" w:bottom="1152"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EB3C5" w:sz="4" w:space="6"/>
      </w:pBdr>
    </w:pPr>
    <w:r>
      <w:rPr>
        <w:rFonts w:ascii="Poppins" w:cs="Poppins" w:eastAsia="Poppins" w:hAnsi="Poppins"/>
        <w:color w:val="767676"/>
        <w:sz w:val="15"/>
        <w:szCs w:val="15"/>
      </w:rPr>
      <w:t xml:space="preserve">David Layson  |  Rules of Engagement for Operational AI  |  v1.0  |  Page </w:t>
    </w:r>
    <w:r>
      <w:rPr>
        <w:rFonts w:ascii="Poppins" w:cs="Poppins" w:eastAsia="Poppins" w:hAnsi="Poppins"/>
        <w:color w:val="767676"/>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color w:val="0F436E"/>
      </w:rPr>
    </w:lvl>
  </w:abstractNum>
  <w:abstractNum w:abstractNumId="3" w15:restartNumberingAfterBreak="0">
    <w:multiLevelType w:val="hybridMultilevel"/>
    <w:lvl w:ilvl="0" w15:tentative="1">
      <w:start w:val="1"/>
      <w:numFmt w:val="decimal"/>
      <w:lvlText w:val="%1."/>
      <w:lvlJc w:val="left"/>
      <w:pPr>
        <w:ind w:left="400" w:hanging="300"/>
      </w:pPr>
      <w:rPr>
        <w:b/>
        <w:bCs/>
        <w:color w:val="0F43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oppins" w:cs="Poppins" w:eastAsia="Poppins" w:hAnsi="Poppins"/>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Eurostile" w:cs="Eurostile" w:eastAsia="Eurostile" w:hAnsi="Eurostile"/>
      <w:b/>
      <w:bCs/>
      <w:color w:val="0F436E"/>
      <w:sz w:val="30"/>
      <w:szCs w:val="30"/>
    </w:rPr>
  </w:style>
  <w:style w:type="paragraph" w:styleId="Heading2">
    <w:name w:val="Heading 2"/>
    <w:basedOn w:val="Normal"/>
    <w:next w:val="Normal"/>
    <w:qFormat/>
    <w:pPr>
      <w:outlineLvl w:val="1"/>
    </w:pPr>
    <w:rPr>
      <w:rFonts w:ascii="Eurostile" w:cs="Eurostile" w:eastAsia="Eurostile" w:hAnsi="Eurostile"/>
      <w:b/>
      <w:bCs/>
      <w:color w:val="0F436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Rules of Engagement for Operational AI</dc:title>
  <dc:creator>David Layson</dc:creator>
  <dc:description>Version 1.0, 2026-10-09</dc:description>
  <cp:lastModifiedBy>Un-named</cp:lastModifiedBy>
  <cp:revision>1</cp:revision>
  <dcterms:created xsi:type="dcterms:W3CDTF">2026-10-09T22:53:52.398Z</dcterms:created>
  <dcterms:modified xsi:type="dcterms:W3CDTF">2026-10-09T22:53:52.398Z</dcterms:modified>
</cp:coreProperties>
</file>

<file path=docProps/custom.xml><?xml version="1.0" encoding="utf-8"?>
<Properties xmlns="http://schemas.openxmlformats.org/officeDocument/2006/custom-properties" xmlns:vt="http://schemas.openxmlformats.org/officeDocument/2006/docPropsVTypes"/>
</file>