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F134A" w14:textId="77777777" w:rsidR="00F3497E" w:rsidRDefault="00000000">
      <w:pPr>
        <w:pStyle w:val="Title"/>
        <w:spacing w:after="80"/>
      </w:pPr>
      <w:r>
        <w:t>Digital Maturity Framework: Acute Care Health Systems</w:t>
      </w:r>
    </w:p>
    <w:p w14:paraId="20740AC0" w14:textId="77777777" w:rsidR="00F3497E" w:rsidRDefault="00000000">
      <w:pPr>
        <w:spacing w:after="200"/>
      </w:pPr>
      <w:r>
        <w:rPr>
          <w:i/>
          <w:iCs/>
          <w:color w:val="595959"/>
        </w:rPr>
        <w:t>Rationale Document — Part A: Maturity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2000"/>
        <w:gridCol w:w="4160"/>
      </w:tblGrid>
      <w:tr w:rsidR="00F3497E" w14:paraId="2BCC8290"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CD2DCF" w14:textId="77777777" w:rsidR="00F3497E" w:rsidRDefault="00000000">
            <w:r>
              <w:rPr>
                <w:b/>
                <w:bCs/>
                <w:color w:val="FFFFFF"/>
              </w:rPr>
              <w:t>Member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6331AB" w14:textId="77777777" w:rsidR="00F3497E" w:rsidRDefault="00000000">
            <w:r>
              <w:rPr>
                <w:b/>
                <w:bCs/>
                <w:color w:val="FFFFFF"/>
              </w:rPr>
              <w:t>Name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75544C" w14:textId="77777777" w:rsidR="00F3497E" w:rsidRDefault="00000000">
            <w:r>
              <w:rPr>
                <w:b/>
                <w:bCs/>
                <w:color w:val="FFFFFF"/>
              </w:rPr>
              <w:t>Role</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2FC606" w14:textId="77777777" w:rsidR="00F3497E" w:rsidRDefault="00000000">
            <w:r>
              <w:rPr>
                <w:b/>
                <w:bCs/>
                <w:color w:val="FFFFFF"/>
              </w:rPr>
              <w:t>Deliverable</w:t>
            </w:r>
          </w:p>
        </w:tc>
      </w:tr>
      <w:tr w:rsidR="00F3497E" w14:paraId="3E5B25E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9927F" w14:textId="77777777" w:rsidR="00F3497E" w:rsidRDefault="00000000">
            <w:r>
              <w:t>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5F736" w14:textId="7E1DADE9" w:rsidR="00F3497E" w:rsidRDefault="00BC2C92">
            <w:r>
              <w:t>Nicolas Byrd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9D418" w14:textId="77777777" w:rsidR="00F3497E" w:rsidRDefault="00000000">
            <w:r>
              <w:t>Framework Designer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A71C2" w14:textId="77777777" w:rsidR="00F3497E" w:rsidRDefault="00000000">
            <w:r>
              <w:t>Industry selection, five dimensions, Stage 1–5 definitions, Interpretation Guide (this document)</w:t>
            </w:r>
          </w:p>
        </w:tc>
      </w:tr>
      <w:tr w:rsidR="00F3497E" w14:paraId="3FA9711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9BD4C" w14:textId="77777777" w:rsidR="00F3497E" w:rsidRDefault="00000000">
            <w:r>
              <w:t>B</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FF728" w14:textId="3A7D1E44" w:rsidR="00F3497E" w:rsidRDefault="00BC2C92">
            <w:r>
              <w:t>Colin Forbes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99E9B" w14:textId="77777777" w:rsidR="00F3497E" w:rsidRDefault="00000000">
            <w:r>
              <w:t>Question Author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6A1C8" w14:textId="77777777" w:rsidR="00F3497E" w:rsidRDefault="00000000">
            <w:r>
              <w:t>Diagnostic question set and Question Design Rationale</w:t>
            </w:r>
          </w:p>
        </w:tc>
      </w:tr>
      <w:tr w:rsidR="00F3497E" w14:paraId="2463BF0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352F2" w14:textId="77777777" w:rsidR="00F3497E" w:rsidRDefault="00000000">
            <w:r>
              <w:t>C</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1E97B" w14:textId="07FAA5DC" w:rsidR="00F3497E" w:rsidRDefault="00BC2C92">
            <w:r>
              <w:t>Aster Nguyen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6C5D0" w14:textId="77777777" w:rsidR="00F3497E" w:rsidRDefault="00000000">
            <w:r>
              <w:t>Tool Builder</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F83E4" w14:textId="77777777" w:rsidR="00F3497E" w:rsidRDefault="00000000">
            <w:r>
              <w:t>Single-file HTML/JS assessment tool and scoring algorithm</w:t>
            </w:r>
          </w:p>
        </w:tc>
      </w:tr>
    </w:tbl>
    <w:p w14:paraId="21A483D4" w14:textId="77777777" w:rsidR="00F3497E" w:rsidRDefault="00000000">
      <w:pPr>
        <w:pStyle w:val="Heading1"/>
        <w:spacing w:before="240" w:after="120"/>
      </w:pPr>
      <w:r>
        <w:t>Industry Selection</w:t>
      </w:r>
    </w:p>
    <w:p w14:paraId="3F622166" w14:textId="77777777" w:rsidR="00F3497E" w:rsidRDefault="00000000">
      <w:pPr>
        <w:spacing w:after="120"/>
      </w:pPr>
      <w:r>
        <w:t xml:space="preserve">This framework assesses the digital maturity of </w:t>
      </w:r>
      <w:r>
        <w:rPr>
          <w:b/>
          <w:bCs/>
        </w:rPr>
        <w:t>acute care health systems</w:t>
      </w:r>
      <w:r>
        <w:t>: hospitals and multi-hospital systems delivering inpatient, emergency, and surgical care.</w:t>
      </w:r>
    </w:p>
    <w:p w14:paraId="32A8278A" w14:textId="77777777" w:rsidR="00F3497E" w:rsidRDefault="00000000">
      <w:pPr>
        <w:spacing w:after="120"/>
      </w:pPr>
      <w:r>
        <w:t>Digital maturity in this industry varies widely and visibly. Integrated systems such as Kaiser Permanente and Mayo Clinic operate unified data platforms, virtual care at scale, and governed AI, while many community and critical access hospitals still rely on legacy records systems, phone-based scheduling, and manual bed coordination.</w:t>
      </w:r>
    </w:p>
    <w:p w14:paraId="780198AB" w14:textId="77777777" w:rsidR="00F3497E" w:rsidRDefault="00000000">
      <w:pPr>
        <w:spacing w:after="120"/>
      </w:pPr>
      <w:r>
        <w:t xml:space="preserve">The dimensions of maturity are also highly </w:t>
      </w:r>
      <w:proofErr w:type="gramStart"/>
      <w:r>
        <w:t>industry-specific</w:t>
      </w:r>
      <w:proofErr w:type="gramEnd"/>
      <w:r>
        <w:t>. Interoperability rules, clinician adoption, bed capacity, payer prior authorization, and patient safety requirements shape how data, channels, automation, AI, and change play out in ways a generic model cannot capture. Established industry benchmarks, including the HIMSS EMRAM and AMAM staging models, provide an external reference point for calibration.</w:t>
      </w:r>
    </w:p>
    <w:p w14:paraId="704AD985" w14:textId="77777777" w:rsidR="00F3497E" w:rsidRDefault="00000000">
      <w:pPr>
        <w:spacing w:after="120"/>
      </w:pPr>
      <w:r>
        <w:t>Each dimension below is scored from Stage 1 to Stage 5. Every stage describes an observable organizational state, not an aspiration.</w:t>
      </w:r>
    </w:p>
    <w:p w14:paraId="0287B7D5" w14:textId="77777777" w:rsidR="00F3497E" w:rsidRDefault="00000000">
      <w:pPr>
        <w:pStyle w:val="Heading1"/>
        <w:spacing w:before="240" w:after="120"/>
      </w:pPr>
      <w:r>
        <w:t>Dimension 1: Clinical Data Foundation</w:t>
      </w:r>
    </w:p>
    <w:p w14:paraId="2BA42B3D" w14:textId="77777777" w:rsidR="00F3497E" w:rsidRDefault="00000000">
      <w:pPr>
        <w:spacing w:after="80"/>
      </w:pPr>
      <w:r>
        <w:rPr>
          <w:i/>
          <w:iCs/>
          <w:color w:val="595959"/>
        </w:rPr>
        <w:t>Generic category: data infrastructure</w:t>
      </w:r>
    </w:p>
    <w:p w14:paraId="541B9A3A" w14:textId="77777777" w:rsidR="00F3497E" w:rsidRDefault="00000000">
      <w:pPr>
        <w:spacing w:after="120"/>
      </w:pPr>
      <w:r>
        <w:t>The degree to which clinical, financial, and operational data is unified, governed, interoperable, and available fast enough to act on. This covers EHR consolidation, the enterprise data warehouse, patient identity matching, data exchange with outside providers, and data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3497E" w14:paraId="38C8B18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F89676" w14:textId="77777777" w:rsidR="00F3497E" w:rsidRDefault="00000000">
            <w:r>
              <w:rPr>
                <w:b/>
                <w:bCs/>
                <w:color w:val="FFFFFF"/>
              </w:rPr>
              <w:t>Stage</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B0FC37" w14:textId="77777777" w:rsidR="00F3497E" w:rsidRDefault="00000000">
            <w:r>
              <w:rPr>
                <w:b/>
                <w:bCs/>
                <w:color w:val="FFFFFF"/>
              </w:rPr>
              <w:t>Observable organizational state</w:t>
            </w:r>
          </w:p>
        </w:tc>
      </w:tr>
      <w:tr w:rsidR="00F3497E" w14:paraId="4844A79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F8973" w14:textId="77777777" w:rsidR="00F3497E" w:rsidRDefault="00000000">
            <w:r>
              <w:rPr>
                <w:b/>
                <w:bCs/>
              </w:rPr>
              <w:t>1 — Fragmented Records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A87E" w14:textId="77777777" w:rsidR="00F3497E" w:rsidRDefault="00000000">
            <w:r>
              <w:t>The organization runs multiple unconnected clinical systems, or a legacy EHR with significant paper documentation remaining. Records from outside providers arrive by fax and are scanned in as images. No enterprise data warehouse exists, and reports are built manually from system extracts.</w:t>
            </w:r>
          </w:p>
        </w:tc>
      </w:tr>
      <w:tr w:rsidR="00F3497E" w14:paraId="3D4189D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E2014" w14:textId="77777777" w:rsidR="00F3497E" w:rsidRDefault="00000000">
            <w:r>
              <w:rPr>
                <w:b/>
                <w:bCs/>
              </w:rPr>
              <w:t xml:space="preserve">2 — Connected but </w:t>
            </w:r>
            <w:proofErr w:type="gramStart"/>
            <w:r>
              <w:rPr>
                <w:b/>
                <w:bCs/>
              </w:rPr>
              <w:t>Siloed</w:t>
            </w:r>
            <w:proofErr w:type="gramEnd"/>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15909" w14:textId="77777777" w:rsidR="00F3497E" w:rsidRDefault="00000000">
            <w:r>
              <w:t>A primary EHR is in place, but departmental systems (lab, imaging, pharmacy, revenue cycle) connect through point-to-point interfaces. Exchange with outside organizations is limited to basic health information exchange queries. Analytics teams maintain separate, conflicting versions of core metrics such as length of stay.</w:t>
            </w:r>
          </w:p>
        </w:tc>
      </w:tr>
      <w:tr w:rsidR="00F3497E" w14:paraId="05B9F8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188DF" w14:textId="77777777" w:rsidR="00F3497E" w:rsidRDefault="00000000">
            <w:r>
              <w:rPr>
                <w:b/>
                <w:bCs/>
              </w:rPr>
              <w:lastRenderedPageBreak/>
              <w:t>3 — Enterprise-Integrated</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9A58" w14:textId="77777777" w:rsidR="00F3497E" w:rsidRDefault="00000000">
            <w:r>
              <w:t>All acute facilities run a single EHR instance, and an enterprise data warehouse is refreshed at least daily. A formal data governance committee owns definitions for core metrics. Records are exchanged electronically with most regional partners through standard national networks.</w:t>
            </w:r>
          </w:p>
        </w:tc>
      </w:tr>
      <w:tr w:rsidR="00F3497E" w14:paraId="7B39568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B0B0B" w14:textId="77777777" w:rsidR="00F3497E" w:rsidRDefault="00000000">
            <w:r>
              <w:rPr>
                <w:b/>
                <w:bCs/>
              </w:rPr>
              <w:t>4 — Governed and Near-Real-Time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389C6" w14:textId="77777777" w:rsidR="00F3497E" w:rsidRDefault="00000000">
            <w:r>
              <w:t>Clinical and operational data flows into a governed platform with latency measured in minutes, not days. Standards-based APIs (FHIR) are in production use by internal and third-party applications. Data quality is measured and published, and a master patient index keeps duplicate record rates low.</w:t>
            </w:r>
          </w:p>
        </w:tc>
      </w:tr>
      <w:tr w:rsidR="00F3497E" w14:paraId="62E4A92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B984EF" w14:textId="77777777" w:rsidR="00F3497E" w:rsidRDefault="00000000">
            <w:r>
              <w:rPr>
                <w:b/>
                <w:bCs/>
              </w:rPr>
              <w:t>5 — Data as Platform</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DA376" w14:textId="77777777" w:rsidR="00F3497E" w:rsidRDefault="00000000">
            <w:r>
              <w:t>Clinical, claims, device, and social-determinants data are unified in a cloud platform supporting research, AI development, and external partnerships under formal governance. The organization offers de-identified data products or platform access to partners. Data availability is an assumed capability rather than a project.</w:t>
            </w:r>
          </w:p>
        </w:tc>
      </w:tr>
    </w:tbl>
    <w:p w14:paraId="793A1B5A" w14:textId="77777777" w:rsidR="00F3497E" w:rsidRDefault="00000000">
      <w:pPr>
        <w:pStyle w:val="Heading1"/>
        <w:spacing w:before="240" w:after="120"/>
      </w:pPr>
      <w:r>
        <w:t>Dimension 2: Digital Front Door and Patient Access</w:t>
      </w:r>
    </w:p>
    <w:p w14:paraId="453831E6" w14:textId="77777777" w:rsidR="00F3497E" w:rsidRDefault="00000000">
      <w:pPr>
        <w:spacing w:after="80"/>
      </w:pPr>
      <w:r>
        <w:rPr>
          <w:i/>
          <w:iCs/>
          <w:color w:val="595959"/>
        </w:rPr>
        <w:t>Generic category: customer interaction channels</w:t>
      </w:r>
    </w:p>
    <w:p w14:paraId="17DF151B" w14:textId="77777777" w:rsidR="00F3497E" w:rsidRDefault="00000000">
      <w:pPr>
        <w:spacing w:after="120"/>
      </w:pPr>
      <w:r>
        <w:t>How patients find, schedule, communicate with, pay, and receive care from the organization through digital channels, and whether those channels work as one integrated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3497E" w14:paraId="4D8FE26E"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396A66" w14:textId="77777777" w:rsidR="00F3497E" w:rsidRDefault="00000000">
            <w:r>
              <w:rPr>
                <w:b/>
                <w:bCs/>
                <w:color w:val="FFFFFF"/>
              </w:rPr>
              <w:t>Stage</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3B0BC" w14:textId="77777777" w:rsidR="00F3497E" w:rsidRDefault="00000000">
            <w:r>
              <w:rPr>
                <w:b/>
                <w:bCs/>
                <w:color w:val="FFFFFF"/>
              </w:rPr>
              <w:t>Observable organizational state</w:t>
            </w:r>
          </w:p>
        </w:tc>
      </w:tr>
      <w:tr w:rsidR="00F3497E" w14:paraId="71BAFC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E7067" w14:textId="77777777" w:rsidR="00F3497E" w:rsidRDefault="00000000">
            <w:r>
              <w:rPr>
                <w:b/>
                <w:bCs/>
              </w:rPr>
              <w:t>1 — Phone and Paper Access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ADC1D" w14:textId="77777777" w:rsidR="00F3497E" w:rsidRDefault="00000000">
            <w:r>
              <w:t>Appointments are scheduled almost entirely by phone during business hours. The patient portal, if one exists, is a vendor default with low activation and limited functions. Price estimates and bills are delivered on paper, and federal price transparency obligations are incomplete.</w:t>
            </w:r>
          </w:p>
        </w:tc>
      </w:tr>
      <w:tr w:rsidR="00F3497E" w14:paraId="08BC190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7143A" w14:textId="77777777" w:rsidR="00F3497E" w:rsidRDefault="00000000">
            <w:r>
              <w:rPr>
                <w:b/>
                <w:bCs/>
              </w:rPr>
              <w:t>2 — Portal Basics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FCB04" w14:textId="77777777" w:rsidR="00F3497E" w:rsidRDefault="00000000">
            <w:r>
              <w:t>A patient portal supports viewing results and messaging, but self-scheduling covers only a few visit types. Telehealth runs on a separate platform from scheduling and the EHR. Digital bill payment exists, but patients cannot get a personalized cost estimate online.</w:t>
            </w:r>
          </w:p>
        </w:tc>
      </w:tr>
      <w:tr w:rsidR="00F3497E" w14:paraId="29803AB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98480" w14:textId="77777777" w:rsidR="00F3497E" w:rsidRDefault="00000000">
            <w:r>
              <w:rPr>
                <w:b/>
                <w:bCs/>
              </w:rPr>
              <w:t>3 — Integrated Self-Service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D039B" w14:textId="77777777" w:rsidR="00F3497E" w:rsidRDefault="00000000">
            <w:r>
              <w:t>Patients can self-schedule most primary and specialty visits, complete pre-registration, and pay bills in one app or portal tied to the EHR. Virtual visits launch from the same experience. Online cost estimators produce patient-specific estimates for common services.</w:t>
            </w:r>
          </w:p>
        </w:tc>
      </w:tr>
      <w:tr w:rsidR="00F3497E" w14:paraId="3BFD576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A07A7" w14:textId="77777777" w:rsidR="00F3497E" w:rsidRDefault="00000000">
            <w:r>
              <w:rPr>
                <w:b/>
                <w:bCs/>
              </w:rPr>
              <w:t>4 — Omnichannel Orchestration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464D7" w14:textId="77777777" w:rsidR="00F3497E" w:rsidRDefault="00000000">
            <w:r>
              <w:t xml:space="preserve">Patients move between </w:t>
            </w:r>
            <w:proofErr w:type="gramStart"/>
            <w:r>
              <w:t>app</w:t>
            </w:r>
            <w:proofErr w:type="gramEnd"/>
            <w:r>
              <w:t>, text, chat, phone, and in-person care with shared context, so staff see prior digital interactions. Automated outreach handles reminders, care gaps, and post-discharge follow-up. Remote patient monitoring operates for at least one chronic condition.</w:t>
            </w:r>
          </w:p>
        </w:tc>
      </w:tr>
      <w:tr w:rsidR="00F3497E" w14:paraId="586681F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0F1FAE" w14:textId="77777777" w:rsidR="00F3497E" w:rsidRDefault="00000000">
            <w:r>
              <w:rPr>
                <w:b/>
                <w:bCs/>
              </w:rPr>
              <w:t>5 — Care Beyond the Walls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F0318" w14:textId="77777777" w:rsidR="00F3497E" w:rsidRDefault="00000000">
            <w:r>
              <w:t xml:space="preserve">Digital and virtual care are </w:t>
            </w:r>
            <w:proofErr w:type="gramStart"/>
            <w:r>
              <w:t>a primary</w:t>
            </w:r>
            <w:proofErr w:type="gramEnd"/>
            <w:r>
              <w:t xml:space="preserve"> delivery </w:t>
            </w:r>
            <w:proofErr w:type="gramStart"/>
            <w:r>
              <w:t>channel</w:t>
            </w:r>
            <w:proofErr w:type="gramEnd"/>
            <w:r>
              <w:t>, including virtual nursing, remote monitoring at scale, and hospital-level care at home where regulations permit. The patient experience is personalized from longitudinal data. Digital access metrics are managed at the executive level alongside clinical quality.</w:t>
            </w:r>
          </w:p>
        </w:tc>
      </w:tr>
    </w:tbl>
    <w:p w14:paraId="6F95BD25" w14:textId="77777777" w:rsidR="00F3497E" w:rsidRDefault="00000000">
      <w:pPr>
        <w:pStyle w:val="Heading1"/>
        <w:spacing w:before="240" w:after="120"/>
      </w:pPr>
      <w:r>
        <w:t>Dimension 3: Capacity and Revenue Cycle Automation</w:t>
      </w:r>
    </w:p>
    <w:p w14:paraId="5E862668" w14:textId="77777777" w:rsidR="00F3497E" w:rsidRDefault="00000000">
      <w:pPr>
        <w:spacing w:after="80"/>
      </w:pPr>
      <w:r>
        <w:rPr>
          <w:i/>
          <w:iCs/>
          <w:color w:val="595959"/>
        </w:rPr>
        <w:t>Generic category: operational automation</w:t>
      </w:r>
    </w:p>
    <w:p w14:paraId="5B7C4842" w14:textId="77777777" w:rsidR="00F3497E" w:rsidRDefault="00000000">
      <w:pPr>
        <w:spacing w:after="120"/>
      </w:pPr>
      <w:r>
        <w:lastRenderedPageBreak/>
        <w:t>The degree to which the hospital's operational engine runs on automated, rules-driven, and coordinated workflows rather than manual effort. This covers patient flow, bed management, staffing, supply chain, prior authorization, coding, and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3497E" w14:paraId="42202480"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ECFC12" w14:textId="77777777" w:rsidR="00F3497E" w:rsidRDefault="00000000">
            <w:r>
              <w:rPr>
                <w:b/>
                <w:bCs/>
                <w:color w:val="FFFFFF"/>
              </w:rPr>
              <w:t>Stage</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8F0E31" w14:textId="77777777" w:rsidR="00F3497E" w:rsidRDefault="00000000">
            <w:r>
              <w:rPr>
                <w:b/>
                <w:bCs/>
                <w:color w:val="FFFFFF"/>
              </w:rPr>
              <w:t>Observable organizational state</w:t>
            </w:r>
          </w:p>
        </w:tc>
      </w:tr>
      <w:tr w:rsidR="00F3497E" w14:paraId="0A23D2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50CE7" w14:textId="77777777" w:rsidR="00F3497E" w:rsidRDefault="00000000">
            <w:r>
              <w:rPr>
                <w:b/>
                <w:bCs/>
              </w:rPr>
              <w:t>1 — Manual Coordination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6CE1EB" w14:textId="77777777" w:rsidR="00F3497E" w:rsidRDefault="00000000">
            <w:r>
              <w:t>Bed status is tracked on whiteboards and by phone calls between units. Prior authorizations and claim follow-up are worked manually through payer portals and fax. Staffing is built in spreadsheets and adjusted by phone.</w:t>
            </w:r>
          </w:p>
        </w:tc>
      </w:tr>
      <w:tr w:rsidR="00F3497E" w14:paraId="465F3E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73788" w14:textId="77777777" w:rsidR="00F3497E" w:rsidRDefault="00000000">
            <w:r>
              <w:rPr>
                <w:b/>
                <w:bCs/>
              </w:rPr>
              <w:t>2 — Departmental Tools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A24B5" w14:textId="77777777" w:rsidR="00F3497E" w:rsidRDefault="00000000">
            <w:r>
              <w:t>Electronic bed boards and staff scheduling software exist but are not connected to each other or to the EHR in real time. Some claims are submitted electronically with basic edit checks. Automation projects are run by individual departments without enterprise coordination.</w:t>
            </w:r>
          </w:p>
        </w:tc>
      </w:tr>
      <w:tr w:rsidR="00F3497E" w14:paraId="43C914C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9DCEC" w14:textId="77777777" w:rsidR="00F3497E" w:rsidRDefault="00000000">
            <w:r>
              <w:rPr>
                <w:b/>
                <w:bCs/>
              </w:rPr>
              <w:t>3 — Workflow Automation at Scale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9D3362" w14:textId="77777777" w:rsidR="00F3497E" w:rsidRDefault="00000000">
            <w:r>
              <w:t>Robotic process automation or equivalent handles high-volume revenue cycle tasks such as eligibility checks and claim status. Bed management is integrated with the EHR, so admissions and discharges update capacity automatically. An enterprise automation team maintains a prioritized pipeline.</w:t>
            </w:r>
          </w:p>
        </w:tc>
      </w:tr>
      <w:tr w:rsidR="00F3497E" w14:paraId="5660019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F493A" w14:textId="77777777" w:rsidR="00F3497E" w:rsidRDefault="00000000">
            <w:r>
              <w:rPr>
                <w:b/>
                <w:bCs/>
              </w:rPr>
              <w:t>4 — Coordinated Operations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8E041" w14:textId="77777777" w:rsidR="00F3497E" w:rsidRDefault="00000000">
            <w:r>
              <w:t>A centralized capacity command center monitors patient flow, transfers, and staffing across facilities in real time. Most prior authorization requests are submitted electronically. Supply chain replenishment is automated from usage data.</w:t>
            </w:r>
          </w:p>
        </w:tc>
      </w:tr>
      <w:tr w:rsidR="00F3497E" w14:paraId="7DC6D00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8FD81" w14:textId="77777777" w:rsidR="00F3497E" w:rsidRDefault="00000000">
            <w:r>
              <w:rPr>
                <w:b/>
                <w:bCs/>
              </w:rPr>
              <w:t>5 — Autonomous Operations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211F0" w14:textId="77777777" w:rsidR="00F3497E" w:rsidRDefault="00000000">
            <w:r>
              <w:t>Routine operational decisions, such as discharge sequencing and routine coding, are executed or pre-staged by systems with human oversight. Performance is managed through live dashboards tied to automated escalation. Clinician and staff time spent on administrative tasks is measured and shrinking year over year.</w:t>
            </w:r>
          </w:p>
        </w:tc>
      </w:tr>
    </w:tbl>
    <w:p w14:paraId="4F27339F" w14:textId="77777777" w:rsidR="00F3497E" w:rsidRDefault="00000000">
      <w:pPr>
        <w:pStyle w:val="Heading1"/>
        <w:spacing w:before="240" w:after="120"/>
      </w:pPr>
      <w:r>
        <w:t>Dimension 4: Clinical and Operational AI</w:t>
      </w:r>
    </w:p>
    <w:p w14:paraId="2DF43281" w14:textId="77777777" w:rsidR="00F3497E" w:rsidRDefault="00000000">
      <w:pPr>
        <w:spacing w:after="80"/>
      </w:pPr>
      <w:r>
        <w:rPr>
          <w:i/>
          <w:iCs/>
          <w:color w:val="595959"/>
        </w:rPr>
        <w:t>Generic category: AI/ML deployment</w:t>
      </w:r>
    </w:p>
    <w:p w14:paraId="0C424D3E" w14:textId="77777777" w:rsidR="00F3497E" w:rsidRDefault="00000000">
      <w:pPr>
        <w:spacing w:after="120"/>
      </w:pPr>
      <w:r>
        <w:t>The extent to which predictive models, generative AI, and machine learning are deployed in live clinical and operational workflows, and whether they are governed, validated locally, and monitored for performance and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3497E" w14:paraId="7C85A81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99F6D9" w14:textId="77777777" w:rsidR="00F3497E" w:rsidRDefault="00000000">
            <w:r>
              <w:rPr>
                <w:b/>
                <w:bCs/>
                <w:color w:val="FFFFFF"/>
              </w:rPr>
              <w:t>Stage</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9FCCEE" w14:textId="77777777" w:rsidR="00F3497E" w:rsidRDefault="00000000">
            <w:r>
              <w:rPr>
                <w:b/>
                <w:bCs/>
                <w:color w:val="FFFFFF"/>
              </w:rPr>
              <w:t>Observable organizational state</w:t>
            </w:r>
          </w:p>
        </w:tc>
      </w:tr>
      <w:tr w:rsidR="00F3497E" w14:paraId="3C82D9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E6E32" w14:textId="77777777" w:rsidR="00F3497E" w:rsidRDefault="00000000">
            <w:r>
              <w:rPr>
                <w:b/>
                <w:bCs/>
              </w:rPr>
              <w:t>1 — No Production AI</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6471D" w14:textId="77777777" w:rsidR="00F3497E" w:rsidRDefault="00000000">
            <w:r>
              <w:t>No machine learning models are used in clinical or operational decisions. Any AI exposure comes from vendor features that are switched off or unmonitored. No one is accountable for AI decisions.</w:t>
            </w:r>
          </w:p>
        </w:tc>
      </w:tr>
      <w:tr w:rsidR="00F3497E" w14:paraId="18CEFE9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F7AB9" w14:textId="77777777" w:rsidR="00F3497E" w:rsidRDefault="00000000">
            <w:r>
              <w:rPr>
                <w:b/>
                <w:bCs/>
              </w:rPr>
              <w:t>2 — Vendor-Embedded Pilots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3B6F7" w14:textId="77777777" w:rsidR="00F3497E" w:rsidRDefault="00000000">
            <w:r>
              <w:t>A small number of vendor-supplied models, typically sepsis or deterioration alerts in the EHR, are turned on without local validation. Pilots run in single departments. No formal AI governance process exists.</w:t>
            </w:r>
          </w:p>
        </w:tc>
      </w:tr>
      <w:tr w:rsidR="00F3497E" w14:paraId="7A75B9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8F38A" w14:textId="77777777" w:rsidR="00F3497E" w:rsidRDefault="00000000">
            <w:r>
              <w:rPr>
                <w:b/>
                <w:bCs/>
              </w:rPr>
              <w:t>3 — Governed Deployment</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3E06E" w14:textId="77777777" w:rsidR="00F3497E" w:rsidRDefault="00000000">
            <w:r>
              <w:t>An AI governance committee with clinical, legal, and ethics representation reviews models before deployment. Several models, including at least one generative AI tool such as ambient clinical documentation, are in production with measured outcomes. Models are validated on the organization's own patient population before go-live.</w:t>
            </w:r>
          </w:p>
        </w:tc>
      </w:tr>
      <w:tr w:rsidR="00F3497E" w14:paraId="5D303BB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D43E8" w14:textId="77777777" w:rsidR="00F3497E" w:rsidRDefault="00000000">
            <w:r>
              <w:rPr>
                <w:b/>
                <w:bCs/>
              </w:rPr>
              <w:lastRenderedPageBreak/>
              <w:t xml:space="preserve">4 — Scaled and </w:t>
            </w:r>
            <w:proofErr w:type="gramStart"/>
            <w:r>
              <w:rPr>
                <w:b/>
                <w:bCs/>
              </w:rPr>
              <w:t>Monitored</w:t>
            </w:r>
            <w:proofErr w:type="gramEnd"/>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2CDDC" w14:textId="77777777" w:rsidR="00F3497E" w:rsidRDefault="00000000">
            <w:r>
              <w:t xml:space="preserve">AI tools operate across multiple service lines and facilities, with ongoing monitoring for performance drift and bias. The organization builds or fine-tunes some models internally using its own data. Clinical outcomes and financial </w:t>
            </w:r>
            <w:proofErr w:type="gramStart"/>
            <w:r>
              <w:t>return</w:t>
            </w:r>
            <w:proofErr w:type="gramEnd"/>
            <w:r>
              <w:t xml:space="preserve"> are reported for each deployed model.</w:t>
            </w:r>
          </w:p>
        </w:tc>
      </w:tr>
      <w:tr w:rsidR="00F3497E" w14:paraId="0E5510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2682" w14:textId="77777777" w:rsidR="00F3497E" w:rsidRDefault="00000000">
            <w:r>
              <w:rPr>
                <w:b/>
                <w:bCs/>
              </w:rPr>
              <w:t>5 — AI-Native Care Delivery</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512F5" w14:textId="77777777" w:rsidR="00F3497E" w:rsidRDefault="00000000">
            <w:r>
              <w:t>Care pathways and operations are redesigned around AI rather than adding AI to existing workflows. The organization publishes peer-reviewed evaluations of its models and contributes to industry standards for health AI assurance. A dedicated function with its own budget manages the AI portfolio as a strategic asset.</w:t>
            </w:r>
          </w:p>
        </w:tc>
      </w:tr>
    </w:tbl>
    <w:p w14:paraId="706CB3BA" w14:textId="77777777" w:rsidR="00F3497E" w:rsidRDefault="00000000">
      <w:pPr>
        <w:pStyle w:val="Heading1"/>
        <w:spacing w:before="240" w:after="120"/>
      </w:pPr>
      <w:r>
        <w:t>Dimension 5: Clinical Change Adoption Capacity</w:t>
      </w:r>
    </w:p>
    <w:p w14:paraId="1537D757" w14:textId="77777777" w:rsidR="00F3497E" w:rsidRDefault="00000000">
      <w:pPr>
        <w:spacing w:after="80"/>
      </w:pPr>
      <w:r>
        <w:rPr>
          <w:i/>
          <w:iCs/>
          <w:color w:val="595959"/>
        </w:rPr>
        <w:t>Generic category: organizational change capacity</w:t>
      </w:r>
    </w:p>
    <w:p w14:paraId="1A4CE652" w14:textId="77777777" w:rsidR="00F3497E" w:rsidRDefault="00000000">
      <w:pPr>
        <w:spacing w:after="120"/>
      </w:pPr>
      <w:r>
        <w:t xml:space="preserve">The organization's demonstrated ability to get physicians, nurses, and staff to adopt new tools and workflows, and to sustain that adoption. This covers clinical informatics leadership, governance, improvement methodology, and </w:t>
      </w:r>
      <w:proofErr w:type="gramStart"/>
      <w:r>
        <w:t>implementation track record</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3497E" w14:paraId="6A706289"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2C96BB" w14:textId="77777777" w:rsidR="00F3497E" w:rsidRDefault="00000000">
            <w:r>
              <w:rPr>
                <w:b/>
                <w:bCs/>
                <w:color w:val="FFFFFF"/>
              </w:rPr>
              <w:t>Stage</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9F4D97" w14:textId="77777777" w:rsidR="00F3497E" w:rsidRDefault="00000000">
            <w:r>
              <w:rPr>
                <w:b/>
                <w:bCs/>
                <w:color w:val="FFFFFF"/>
              </w:rPr>
              <w:t>Observable organizational state</w:t>
            </w:r>
          </w:p>
        </w:tc>
      </w:tr>
      <w:tr w:rsidR="00F3497E" w14:paraId="0534CF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102F3" w14:textId="77777777" w:rsidR="00F3497E" w:rsidRDefault="00000000">
            <w:r>
              <w:rPr>
                <w:b/>
                <w:bCs/>
              </w:rPr>
              <w:t>1 — Change by Mandate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B14AC" w14:textId="77777777" w:rsidR="00F3497E" w:rsidRDefault="00000000">
            <w:r>
              <w:t>Technology changes are driven by IT or vendors with little clinician involvement. Go-lives frequently slip, are rolled back, or produce significant workarounds. No clinical informatics leadership role, such as a Chief Medical Information Officer (CMIO), exists.</w:t>
            </w:r>
          </w:p>
        </w:tc>
      </w:tr>
      <w:tr w:rsidR="00F3497E" w14:paraId="48B911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EB984" w14:textId="77777777" w:rsidR="00F3497E" w:rsidRDefault="00000000">
            <w:r>
              <w:rPr>
                <w:b/>
                <w:bCs/>
              </w:rPr>
              <w:t>2 — Project-Based Change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FEF39" w14:textId="77777777" w:rsidR="00F3497E" w:rsidRDefault="00000000">
            <w:r>
              <w:t>A CMIO or nursing informatics lead exists, but with limited authority or budget. Clinician training is concentrated at go-live, with little follow-up. Adoption is not measured after implementation.</w:t>
            </w:r>
          </w:p>
        </w:tc>
      </w:tr>
      <w:tr w:rsidR="00F3497E" w14:paraId="384099D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7E99D" w14:textId="77777777" w:rsidR="00F3497E" w:rsidRDefault="00000000">
            <w:r>
              <w:rPr>
                <w:b/>
                <w:bCs/>
              </w:rPr>
              <w:t>3 — Clinically Led Governance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A27AB" w14:textId="77777777" w:rsidR="00F3497E" w:rsidRDefault="00000000">
            <w:r>
              <w:t>Physician- and nurse-led governance councils approve and prioritize digital initiatives. Post-implementation adoption metrics, such as EHR usage data, are tracked. A formal improvement methodology (Lean, Six Sigma, or equivalent) is used in at least some departments.</w:t>
            </w:r>
          </w:p>
        </w:tc>
      </w:tr>
      <w:tr w:rsidR="00F3497E" w14:paraId="06F4466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BD62E" w14:textId="77777777" w:rsidR="00F3497E" w:rsidRDefault="00000000">
            <w:r>
              <w:rPr>
                <w:b/>
                <w:bCs/>
              </w:rPr>
              <w:t>4 — Embedded Improvement Culture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47834" w14:textId="77777777" w:rsidR="00F3497E" w:rsidRDefault="00000000">
            <w:r>
              <w:t>A single improvement methodology is used enterprise-wide, with trained frontline staff leading projects. Clinician burnout and EHR satisfaction are measured and acted on. The organization consistently meets go-live dates and adoption targets.</w:t>
            </w:r>
          </w:p>
        </w:tc>
      </w:tr>
      <w:tr w:rsidR="00F3497E" w14:paraId="43F9ED6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3D72EC" w14:textId="77777777" w:rsidR="00F3497E" w:rsidRDefault="00000000">
            <w:r>
              <w:rPr>
                <w:b/>
                <w:bCs/>
              </w:rPr>
              <w:t>5 — Continuous Transformation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EA698" w14:textId="77777777" w:rsidR="00F3497E" w:rsidRDefault="00000000">
            <w:r>
              <w:t>The organization runs multiple major changes simultaneously without degrading clinical operations, and adoption is sustained years later. Frontline clinicians routinely propose and help build digital solutions. Other organizations study its management system as a model.</w:t>
            </w:r>
          </w:p>
        </w:tc>
      </w:tr>
    </w:tbl>
    <w:p w14:paraId="6615A6F7" w14:textId="77777777" w:rsidR="00F3497E" w:rsidRDefault="00000000">
      <w:r>
        <w:br w:type="page"/>
      </w:r>
    </w:p>
    <w:p w14:paraId="67B3390E" w14:textId="77777777" w:rsidR="00F3497E" w:rsidRDefault="00000000">
      <w:pPr>
        <w:pStyle w:val="Heading1"/>
        <w:spacing w:before="240" w:after="120"/>
      </w:pPr>
      <w:r>
        <w:lastRenderedPageBreak/>
        <w:t>Interpretation Guide</w:t>
      </w:r>
    </w:p>
    <w:p w14:paraId="61A0BA6E" w14:textId="77777777" w:rsidR="00F3497E" w:rsidRDefault="00000000">
      <w:pPr>
        <w:spacing w:after="120"/>
      </w:pPr>
      <w:r>
        <w:t>The shape of a score profile, not the level of any single score, determines strategic priority. A 2.0 on Clinical Data Foundation beside a 1.5 on Digital Front Door means an organization that is uniformly early; beside a 4.5, it means a polished interface on a weak foundation that will stall channel growth and AI.</w:t>
      </w:r>
    </w:p>
    <w:p w14:paraId="6E1D00D3" w14:textId="77777777" w:rsidR="00F3497E" w:rsidRDefault="00000000">
      <w:pPr>
        <w:pStyle w:val="Heading3"/>
        <w:spacing w:before="140" w:after="40"/>
      </w:pPr>
      <w:r>
        <w:t>1. The Analog Hospital</w:t>
      </w:r>
    </w:p>
    <w:p w14:paraId="69B589F3" w14:textId="77777777" w:rsidR="00F3497E" w:rsidRDefault="00000000">
      <w:pPr>
        <w:spacing w:after="60"/>
      </w:pPr>
      <w:r>
        <w:rPr>
          <w:i/>
          <w:iCs/>
        </w:rPr>
        <w:t xml:space="preserve">Trigger: all five dimensions ≤ 2.0. </w:t>
      </w:r>
      <w:r>
        <w:t xml:space="preserve">The organization runs on manual coordination, fragmented records, and phone-based access, and lacks the governance to absorb major change. Its core risk is falling behind regulatory requirements and losing </w:t>
      </w:r>
      <w:proofErr w:type="spellStart"/>
      <w:r>
        <w:t>patients</w:t>
      </w:r>
      <w:proofErr w:type="spellEnd"/>
      <w:r>
        <w:t xml:space="preserve"> and clinicians to digitally mature competitors.</w:t>
      </w:r>
    </w:p>
    <w:p w14:paraId="747A0D4F" w14:textId="77777777" w:rsidR="00F3497E" w:rsidRDefault="00000000">
      <w:pPr>
        <w:spacing w:after="100"/>
      </w:pPr>
      <w:r>
        <w:rPr>
          <w:b/>
          <w:bCs/>
        </w:rPr>
        <w:t xml:space="preserve">Next action: </w:t>
      </w:r>
      <w:r>
        <w:t>Appoint a CMIO with budget authority and a physician-led digital governance council, then spend the next 18 months consolidating onto a single EHR instance before funding patient-facing or AI initiatives.</w:t>
      </w:r>
    </w:p>
    <w:p w14:paraId="095D8E55" w14:textId="77777777" w:rsidR="00F3497E" w:rsidRDefault="00000000">
      <w:pPr>
        <w:pStyle w:val="Heading3"/>
        <w:spacing w:before="140" w:after="40"/>
      </w:pPr>
      <w:r>
        <w:t>2. The Frontier System</w:t>
      </w:r>
    </w:p>
    <w:p w14:paraId="652A0574" w14:textId="77777777" w:rsidR="00F3497E" w:rsidRDefault="00000000">
      <w:pPr>
        <w:spacing w:after="60"/>
      </w:pPr>
      <w:r>
        <w:rPr>
          <w:i/>
          <w:iCs/>
        </w:rPr>
        <w:t xml:space="preserve">Trigger: all five dimensions ≥ 4.0. </w:t>
      </w:r>
      <w:r>
        <w:t>The organization has integrated data, omnichannel access, coordinated operations, governed AI, and proven change capacity. Its next gains come from redesigning care delivery itself: using AI and virtual care to take on population health risk and move care out of the hospital.</w:t>
      </w:r>
    </w:p>
    <w:p w14:paraId="18202449" w14:textId="77777777" w:rsidR="00F3497E" w:rsidRDefault="00000000">
      <w:pPr>
        <w:spacing w:after="100"/>
      </w:pPr>
      <w:r>
        <w:rPr>
          <w:b/>
          <w:bCs/>
        </w:rPr>
        <w:t xml:space="preserve">Next action: </w:t>
      </w:r>
      <w:r>
        <w:t>Redesign one high-volume service line, such as heart failure</w:t>
      </w:r>
      <w:proofErr w:type="gramStart"/>
      <w:r>
        <w:t>, around</w:t>
      </w:r>
      <w:proofErr w:type="gramEnd"/>
      <w:r>
        <w:t xml:space="preserve"> remote monitoring, predictive outreach, and virtual nursing under a value-based payer </w:t>
      </w:r>
      <w:proofErr w:type="gramStart"/>
      <w:r>
        <w:t>contract, and</w:t>
      </w:r>
      <w:proofErr w:type="gramEnd"/>
      <w:r>
        <w:t xml:space="preserve"> publish the outcomes.</w:t>
      </w:r>
    </w:p>
    <w:p w14:paraId="241CC2A3" w14:textId="77777777" w:rsidR="00F3497E" w:rsidRDefault="00000000">
      <w:pPr>
        <w:pStyle w:val="Heading3"/>
        <w:spacing w:before="140" w:after="40"/>
      </w:pPr>
      <w:r>
        <w:t>3. The Execution Gap</w:t>
      </w:r>
    </w:p>
    <w:p w14:paraId="7E63B0F1" w14:textId="77777777" w:rsidR="00F3497E" w:rsidRDefault="00000000">
      <w:pPr>
        <w:spacing w:after="60"/>
      </w:pPr>
      <w:r>
        <w:rPr>
          <w:i/>
          <w:iCs/>
        </w:rPr>
        <w:t xml:space="preserve">Trigger: Clinical Change Adoption at least 1.0 below every capability dimension. </w:t>
      </w:r>
      <w:r>
        <w:t>The organization has bought or built capable technology that clinicians and staff are not absorbing, shown by low adoption, workarounds, burnout, and slipped go-lives. Further technology spending yields diminishing returns and can create patient safety risk.</w:t>
      </w:r>
    </w:p>
    <w:p w14:paraId="51880390" w14:textId="77777777" w:rsidR="00F3497E" w:rsidRDefault="00000000">
      <w:pPr>
        <w:spacing w:after="100"/>
      </w:pPr>
      <w:r>
        <w:rPr>
          <w:b/>
          <w:bCs/>
        </w:rPr>
        <w:t xml:space="preserve">Next action: </w:t>
      </w:r>
      <w:r>
        <w:t xml:space="preserve">Freeze new implementations until adoption targets for existing tools are </w:t>
      </w:r>
      <w:proofErr w:type="gramStart"/>
      <w:r>
        <w:t>met, and</w:t>
      </w:r>
      <w:proofErr w:type="gramEnd"/>
      <w:r>
        <w:t xml:space="preserve"> redirect that budget into a physician and nurse informatics program with protected time and post-go-live support.</w:t>
      </w:r>
    </w:p>
    <w:p w14:paraId="69FD8872" w14:textId="77777777" w:rsidR="00F3497E" w:rsidRDefault="00000000">
      <w:pPr>
        <w:pStyle w:val="Heading3"/>
        <w:spacing w:before="140" w:after="40"/>
      </w:pPr>
      <w:r>
        <w:t>4. The Hollow Core</w:t>
      </w:r>
    </w:p>
    <w:p w14:paraId="3E687526" w14:textId="77777777" w:rsidR="00F3497E" w:rsidRDefault="00000000">
      <w:pPr>
        <w:spacing w:after="60"/>
      </w:pPr>
      <w:r>
        <w:rPr>
          <w:i/>
          <w:iCs/>
        </w:rPr>
        <w:t xml:space="preserve">Trigger: Clinical Data Foundation at least 1.0 below every other dimension. </w:t>
      </w:r>
      <w:r>
        <w:t>The organization has invested in visible tools without unifying the data beneath them, so dashboards disagree and AI cannot scale beyond pilots. Every new capability inherits this fragmentation, widening the gap with each launch.</w:t>
      </w:r>
    </w:p>
    <w:p w14:paraId="486316AF" w14:textId="77777777" w:rsidR="00F3497E" w:rsidRDefault="00000000">
      <w:pPr>
        <w:spacing w:after="100"/>
      </w:pPr>
      <w:r>
        <w:rPr>
          <w:b/>
          <w:bCs/>
        </w:rPr>
        <w:t xml:space="preserve">Next action: </w:t>
      </w:r>
      <w:r>
        <w:t>Pause new data-dependent launches for two quarters and fund an enterprise data platform with governed metric definitions, a master patient index, and FHIR-based integration.</w:t>
      </w:r>
    </w:p>
    <w:p w14:paraId="1C6A1649" w14:textId="77777777" w:rsidR="00F3497E" w:rsidRDefault="00000000">
      <w:pPr>
        <w:pStyle w:val="Heading3"/>
        <w:spacing w:before="140" w:after="40"/>
      </w:pPr>
      <w:r>
        <w:t>5. Digitized, Not Transformed</w:t>
      </w:r>
    </w:p>
    <w:p w14:paraId="2CE5B8C6" w14:textId="77777777" w:rsidR="00F3497E" w:rsidRDefault="00000000">
      <w:pPr>
        <w:spacing w:after="60"/>
      </w:pPr>
      <w:r>
        <w:rPr>
          <w:i/>
          <w:iCs/>
        </w:rPr>
        <w:t xml:space="preserve">Trigger: Digital Front Door ≥ 3.5 and Clinical and Operational AI at least 1.5 below it. </w:t>
      </w:r>
      <w:r>
        <w:t>Patients schedule, message, pay, and visit digitally, but the data those channels generate is not used to change how care is decided or delivered. The channels are a more convenient version of the old process, not a new operating model.</w:t>
      </w:r>
    </w:p>
    <w:p w14:paraId="03EE5DFF" w14:textId="77777777" w:rsidR="00F3497E" w:rsidRDefault="00000000">
      <w:pPr>
        <w:spacing w:after="100"/>
      </w:pPr>
      <w:r>
        <w:rPr>
          <w:b/>
          <w:bCs/>
        </w:rPr>
        <w:t xml:space="preserve">Next action: </w:t>
      </w:r>
      <w:r>
        <w:t>Deploy one governed predictive model on existing channel data, such as no-show prediction driving targeted outreach and overbooking, and measure its effect on access and revenue within six months.</w:t>
      </w:r>
    </w:p>
    <w:p w14:paraId="6A98BFD9" w14:textId="77777777" w:rsidR="00F3497E" w:rsidRDefault="00000000">
      <w:pPr>
        <w:spacing w:after="120"/>
      </w:pPr>
      <w:r>
        <w:rPr>
          <w:i/>
          <w:iCs/>
        </w:rPr>
        <w:t xml:space="preserve">When several triggers match, the first profile in the order above applies; the Execution Gap outranks the Hollow Core because, without adoption capacity, data remediation will also fail. When none </w:t>
      </w:r>
      <w:proofErr w:type="gramStart"/>
      <w:r>
        <w:rPr>
          <w:i/>
          <w:iCs/>
        </w:rPr>
        <w:t>match</w:t>
      </w:r>
      <w:proofErr w:type="gramEnd"/>
      <w:r>
        <w:rPr>
          <w:i/>
          <w:iCs/>
        </w:rPr>
        <w:t>, prioritize the two lowest-scoring dimensions.</w:t>
      </w:r>
    </w:p>
    <w:sectPr w:rsidR="00F3497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26259" w14:textId="77777777" w:rsidR="00614900" w:rsidRDefault="00614900">
      <w:r>
        <w:separator/>
      </w:r>
    </w:p>
  </w:endnote>
  <w:endnote w:type="continuationSeparator" w:id="0">
    <w:p w14:paraId="7886CFDB" w14:textId="77777777" w:rsidR="00614900" w:rsidRDefault="00614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BCF1" w14:textId="77777777" w:rsidR="00F3497E"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BC2C9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E9B9E" w14:textId="77777777" w:rsidR="00614900" w:rsidRDefault="00614900">
      <w:r>
        <w:separator/>
      </w:r>
    </w:p>
  </w:footnote>
  <w:footnote w:type="continuationSeparator" w:id="0">
    <w:p w14:paraId="1D85313F" w14:textId="77777777" w:rsidR="00614900" w:rsidRDefault="00614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A2E"/>
    <w:multiLevelType w:val="hybridMultilevel"/>
    <w:tmpl w:val="6BAE57DA"/>
    <w:lvl w:ilvl="0" w:tplc="A058DC04">
      <w:start w:val="1"/>
      <w:numFmt w:val="bullet"/>
      <w:lvlText w:val="●"/>
      <w:lvlJc w:val="left"/>
      <w:pPr>
        <w:ind w:left="720" w:hanging="360"/>
      </w:pPr>
    </w:lvl>
    <w:lvl w:ilvl="1" w:tplc="3362B8DC">
      <w:start w:val="1"/>
      <w:numFmt w:val="bullet"/>
      <w:lvlText w:val="○"/>
      <w:lvlJc w:val="left"/>
      <w:pPr>
        <w:ind w:left="1440" w:hanging="360"/>
      </w:pPr>
    </w:lvl>
    <w:lvl w:ilvl="2" w:tplc="4F8E53B2">
      <w:start w:val="1"/>
      <w:numFmt w:val="bullet"/>
      <w:lvlText w:val="■"/>
      <w:lvlJc w:val="left"/>
      <w:pPr>
        <w:ind w:left="2160" w:hanging="360"/>
      </w:pPr>
    </w:lvl>
    <w:lvl w:ilvl="3" w:tplc="4D74E9DA">
      <w:start w:val="1"/>
      <w:numFmt w:val="bullet"/>
      <w:lvlText w:val="●"/>
      <w:lvlJc w:val="left"/>
      <w:pPr>
        <w:ind w:left="2880" w:hanging="360"/>
      </w:pPr>
    </w:lvl>
    <w:lvl w:ilvl="4" w:tplc="F724E2FA">
      <w:start w:val="1"/>
      <w:numFmt w:val="bullet"/>
      <w:lvlText w:val="○"/>
      <w:lvlJc w:val="left"/>
      <w:pPr>
        <w:ind w:left="3600" w:hanging="360"/>
      </w:pPr>
    </w:lvl>
    <w:lvl w:ilvl="5" w:tplc="509AB09A">
      <w:start w:val="1"/>
      <w:numFmt w:val="bullet"/>
      <w:lvlText w:val="■"/>
      <w:lvlJc w:val="left"/>
      <w:pPr>
        <w:ind w:left="4320" w:hanging="360"/>
      </w:pPr>
    </w:lvl>
    <w:lvl w:ilvl="6" w:tplc="A9524932">
      <w:start w:val="1"/>
      <w:numFmt w:val="bullet"/>
      <w:lvlText w:val="●"/>
      <w:lvlJc w:val="left"/>
      <w:pPr>
        <w:ind w:left="5040" w:hanging="360"/>
      </w:pPr>
    </w:lvl>
    <w:lvl w:ilvl="7" w:tplc="8FF64858">
      <w:start w:val="1"/>
      <w:numFmt w:val="bullet"/>
      <w:lvlText w:val="●"/>
      <w:lvlJc w:val="left"/>
      <w:pPr>
        <w:ind w:left="5760" w:hanging="360"/>
      </w:pPr>
    </w:lvl>
    <w:lvl w:ilvl="8" w:tplc="BEDA2E1A">
      <w:start w:val="1"/>
      <w:numFmt w:val="bullet"/>
      <w:lvlText w:val="●"/>
      <w:lvlJc w:val="left"/>
      <w:pPr>
        <w:ind w:left="6480" w:hanging="360"/>
      </w:pPr>
    </w:lvl>
  </w:abstractNum>
  <w:num w:numId="1" w16cid:durableId="1766877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7E"/>
    <w:rsid w:val="002F0657"/>
    <w:rsid w:val="00614900"/>
    <w:rsid w:val="00BC2C92"/>
    <w:rsid w:val="00F34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A261"/>
  <w15:docId w15:val="{467AB0DF-B894-4BC8-9288-D8DD8441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b/>
      <w:bCs/>
      <w:color w:val="2E559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2114</Words>
  <Characters>12051</Characters>
  <Application>Microsoft Office Word</Application>
  <DocSecurity>0</DocSecurity>
  <Lines>100</Lines>
  <Paragraphs>28</Paragraphs>
  <ScaleCrop>false</ScaleCrop>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Byrd</cp:lastModifiedBy>
  <cp:revision>2</cp:revision>
  <dcterms:created xsi:type="dcterms:W3CDTF">2026-09-25T20:51:00Z</dcterms:created>
  <dcterms:modified xsi:type="dcterms:W3CDTF">2026-09-25T20:54:00Z</dcterms:modified>
</cp:coreProperties>
</file>