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80"/>
      </w:pPr>
      <w:r>
        <w:rPr>
          <w:b/>
          <w:sz w:val="44"/>
        </w:rPr>
        <w:t>Informe Técnico EP2 — Asistente Inteligente de Seguros</w:t>
      </w:r>
    </w:p>
    <w:p>
      <w:r>
        <w:rPr>
          <w:color w:val="6B7280"/>
          <w:sz w:val="26"/>
        </w:rPr>
        <w:t>Seguros Express S.A. · RAG con embeddings, agentes con herramientas, planificación y memoria</w:t>
      </w:r>
    </w:p>
    <w:p/>
    <w:p>
      <w:pPr>
        <w:spacing w:after="40"/>
      </w:pPr>
      <w:r>
        <w:rPr>
          <w:b/>
          <w:sz w:val="24"/>
        </w:rPr>
        <w:t>Nicolás Castillo</w:t>
      </w:r>
    </w:p>
    <w:p>
      <w:pPr>
        <w:spacing w:after="40"/>
      </w:pPr>
      <w:r>
        <w:rPr>
          <w:b w:val="0"/>
          <w:sz w:val="24"/>
        </w:rPr>
        <w:t>ISY0101 · Ingeniería de Soluciones con IA</w:t>
      </w:r>
    </w:p>
    <w:p>
      <w:pPr>
        <w:spacing w:after="40"/>
      </w:pPr>
      <w:r>
        <w:rPr>
          <w:b w:val="0"/>
          <w:sz w:val="24"/>
        </w:rPr>
        <w:t>Evaluación Parcial 2 · 2026</w:t>
      </w:r>
    </w:p>
    <w:p>
      <w:r>
        <w:br w:type="page"/>
      </w:r>
    </w:p>
    <w:p>
      <w:pPr>
        <w:spacing w:before="240" w:after="80"/>
      </w:pPr>
      <w:r>
        <w:rPr>
          <w:b/>
          <w:color w:val="111827"/>
          <w:sz w:val="28"/>
        </w:rPr>
        <w:t>1. Introducción</w:t>
      </w:r>
    </w:p>
    <w:p>
      <w:r>
        <w:t>El presente informe documenta la evolución del Asistente Inteligente de Seguros de Seguros Express S.A., desarrollado para la Evaluación Parcial 1 como un pipeline RAG y extendido en la Evaluación Parcial 2 a una arquitectura de agentes con herramientas de consulta y escritura, planificación y memoria.</w:t>
      </w:r>
    </w:p>
    <w:p>
      <w:r>
        <w:t>El asistente responde consultas de asegurados sobre el manual (grúa y asistencia en ruta, siniestros, coberturas y exclusiones, reembolsos, primas y vigencia, y red de prestadores), consulta el valor vigente de la UF en línea y puede registrar siniestros, entregando siempre respuestas fundamentadas en las fuentes recuperadas.</w:t>
      </w:r>
    </w:p>
    <w:p>
      <w:pPr>
        <w:spacing w:after="60"/>
      </w:pPr>
      <w:r>
        <w:rPr>
          <w:b/>
          <w:color w:val="B42318"/>
        </w:rPr>
        <w:t xml:space="preserve">[COMPLETAR — redactar tú] </w:t>
      </w:r>
      <w:r>
        <w:rPr>
          <w:i/>
          <w:color w:val="6B7280"/>
        </w:rPr>
        <w:t>Ajusta la introducción a tu voz: problema/objetivo y alcance en 1-2 párrafos.</w:t>
      </w:r>
    </w:p>
    <w:p>
      <w:pPr>
        <w:spacing w:before="240" w:after="80"/>
      </w:pPr>
      <w:r>
        <w:rPr>
          <w:b/>
          <w:color w:val="111827"/>
          <w:sz w:val="28"/>
        </w:rPr>
        <w:t>2. Arquitectura de la solución</w:t>
      </w:r>
    </w:p>
    <w:p>
      <w:r>
        <w:t>El sistema separa la obtención de datos (herramientas) de la redacción de la respuesta (composición con el LLM). El flujo general es:</w:t>
      </w:r>
    </w:p>
    <w:p>
      <w:pPr>
        <w:spacing w:after="120"/>
      </w:pPr>
      <w:r>
        <w:rPr>
          <w:rFonts w:ascii="Consolas" w:hAnsi="Consolas"/>
          <w:color w:val="6B7280"/>
          <w:sz w:val="18"/>
        </w:rPr>
        <w:t>Asegurado -&gt; Web (Streamlit) / CLI -&gt; Assistant (fachada)</w:t>
        <w:br/>
        <w:t xml:space="preserve">   modo multi: Supervisor (clasifica + plan) -&gt; Ejecutor determinista -&gt; Compose (LLM)</w:t>
        <w:br/>
        <w:t xml:space="preserve">   modo single: Agente ReAct unico (tool calling)</w:t>
        <w:br/>
        <w:t>Herramientas: buscar_manual · UF (mindicador.cl) · red de talleres · registrar_siniestro</w:t>
        <w:br/>
        <w:t>Recuperacion: Chroma (embeddings 2048 dims) + capa lexica (fusion)</w:t>
      </w:r>
    </w:p>
    <w:p>
      <w:pPr>
        <w:spacing w:after="60"/>
      </w:pPr>
      <w:r>
        <w:rPr>
          <w:b/>
          <w:color w:val="B42318"/>
        </w:rPr>
        <w:t xml:space="preserve">[COMPLETAR — redactar tú] </w:t>
      </w:r>
      <w:r>
        <w:rPr>
          <w:i/>
          <w:color w:val="6B7280"/>
        </w:rPr>
        <w:t>Insertar aquí el diagrama de arquitectura (Mermaid de docs/arquitectura.md o una captura de la app). Los diagramas deben ser TUYOS.</w:t>
      </w:r>
    </w:p>
    <w:p>
      <w:r>
        <w:t>Componentes y tecnologías:</w:t>
      </w:r>
    </w:p>
    <w:p>
      <w:pPr>
        <w:pStyle w:val="ListBullet"/>
        <w:spacing w:after="40"/>
        <w:ind w:left="340"/>
      </w:pPr>
      <w:r>
        <w:t>Chat (LLM): Ollama local qwen2.5:14b-instruct (por defecto) o NVIDIA NIM remoto openai/gpt-oss-20b.</w:t>
      </w:r>
    </w:p>
    <w:p>
      <w:pPr>
        <w:pStyle w:val="ListBullet"/>
        <w:spacing w:after="40"/>
        <w:ind w:left="340"/>
      </w:pPr>
      <w:r>
        <w:t>Embeddings: NVIDIA NIM nvidia/llama-nemotron-embed-vl-1b-v2 (2048 dims), espacio coseno.</w:t>
      </w:r>
    </w:p>
    <w:p>
      <w:pPr>
        <w:pStyle w:val="ListBullet"/>
        <w:spacing w:after="40"/>
        <w:ind w:left="340"/>
      </w:pPr>
      <w:r>
        <w:t>Base vectorial: Chroma persistente (data/chroma).</w:t>
      </w:r>
    </w:p>
    <w:p>
      <w:pPr>
        <w:pStyle w:val="ListBullet"/>
        <w:spacing w:after="40"/>
        <w:ind w:left="340"/>
      </w:pPr>
      <w:r>
        <w:t>Agentes: LangChain v1 (create_agent) + LangGraph (MemorySaver).</w:t>
      </w:r>
    </w:p>
    <w:p>
      <w:pPr>
        <w:pStyle w:val="ListBullet"/>
        <w:spacing w:after="40"/>
        <w:ind w:left="340"/>
      </w:pPr>
      <w:r>
        <w:t>Orquestación: patrón plan -&gt; execute (supervisor + ejecutor determinista).</w:t>
      </w:r>
    </w:p>
    <w:p>
      <w:pPr>
        <w:pStyle w:val="ListBullet"/>
        <w:spacing w:after="40"/>
        <w:ind w:left="340"/>
      </w:pPr>
      <w:r>
        <w:t>Interfaz: Streamlit (web, con tema claro/oscuro) y CLI.</w:t>
      </w:r>
    </w:p>
    <w:p>
      <w:pPr>
        <w:spacing w:before="240" w:after="80"/>
      </w:pPr>
      <w:r>
        <w:rPr>
          <w:b/>
          <w:color w:val="111827"/>
          <w:sz w:val="28"/>
        </w:rPr>
        <w:t>3. Agentes y orquestación</w:t>
      </w:r>
    </w:p>
    <w:p>
      <w:r>
        <w:t>En el modo multi-agente, el supervisor (1) clasifica la consulta con un router híbrido —reglas deterministas por palabras clave y, ante ambigüedad, un LLM con salida estructurada— y (2) arma un plan de pasos. Una consulta compuesta como «registra un choque de la patente ABCD12 y dime el deducible en pesos» produce el plan [siniestros, financiero].</w:t>
      </w:r>
    </w:p>
    <w:p>
      <w:r>
        <w:t>El ejecutor determinista invoca las herramientas en el orden del plan por código (no delega el tool calling al LLM). Esto da fiabilidad y baja latencia con modelos locales, y hace la traza reproducible. Finalmente, una única llamada de composición redacta la respuesta usando solo los datos recuperados.</w:t>
      </w:r>
    </w:p>
    <w:p>
      <w:pPr>
        <w:spacing w:before="240" w:after="80"/>
      </w:pPr>
      <w:r>
        <w:rPr>
          <w:b/>
          <w:color w:val="111827"/>
          <w:sz w:val="28"/>
        </w:rPr>
        <w:t>4. Herramientas: consulta y escritura</w:t>
      </w:r>
    </w:p>
    <w:p>
      <w:pPr>
        <w:pStyle w:val="ListBullet"/>
        <w:spacing w:after="40"/>
        <w:ind w:left="340"/>
      </w:pPr>
      <w:r>
        <w:t>buscar_manual(consulta): RAG híbrido sobre el manual del asegurado.</w:t>
      </w:r>
    </w:p>
    <w:p>
      <w:pPr>
        <w:pStyle w:val="ListBullet"/>
        <w:spacing w:after="40"/>
        <w:ind w:left="340"/>
      </w:pPr>
      <w:r>
        <w:t>consultar_valor_uf_actual(): valor vigente de la UF (mindicador.cl).</w:t>
      </w:r>
    </w:p>
    <w:p>
      <w:pPr>
        <w:pStyle w:val="ListBullet"/>
        <w:spacing w:after="40"/>
        <w:ind w:left="340"/>
      </w:pPr>
      <w:r>
        <w:t>convertir_uf_a_clp(cantidad_uf): conversión UF -&gt; CLP.</w:t>
      </w:r>
    </w:p>
    <w:p>
      <w:pPr>
        <w:pStyle w:val="ListBullet"/>
        <w:spacing w:after="40"/>
        <w:ind w:left="340"/>
      </w:pPr>
      <w:r>
        <w:t>consultar_red_talleres(ciudad): talleres autorizados por ciudad.</w:t>
      </w:r>
    </w:p>
    <w:p>
      <w:pPr>
        <w:pStyle w:val="ListBullet"/>
        <w:spacing w:after="40"/>
        <w:ind w:left="340"/>
      </w:pPr>
      <w:r>
        <w:t>registrar_siniestro(patente, tipo, descripcion, ciudad) [ESCRITURA]: registra un siniestro y devuelve un folio SIN-YYYYMMDD-NNNN persistido en data/siniestros.json.</w:t>
      </w:r>
    </w:p>
    <w:p>
      <w:pPr>
        <w:pStyle w:val="ListBullet"/>
        <w:spacing w:after="40"/>
        <w:ind w:left="340"/>
      </w:pPr>
      <w:r>
        <w:t>consultar_siniestros(patente): consulta los siniestros registrados.</w:t>
      </w:r>
    </w:p>
    <w:p>
      <w:pPr>
        <w:spacing w:before="240" w:after="80"/>
      </w:pPr>
      <w:r>
        <w:rPr>
          <w:b/>
          <w:color w:val="111827"/>
          <w:sz w:val="28"/>
        </w:rPr>
        <w:t>5. Memoria y recuperación semántica</w:t>
      </w:r>
    </w:p>
    <w:p>
      <w:r>
        <w:t>La memoria de corto plazo (checkpointer de LangGraph por thread_id) da continuidad en la sesión: los seguimientos cortos como «¿y eso en pesos?» resuelven su referente con el turno anterior. La memoria de largo plazo recupera intercambios semánticamente relevantes (Chroma + embeddings) y los inyecta como contexto. La recuperación del manual combina embeddings (Chroma, coseno) con una capa léxica y descarta fragmentos bajo el umbral (VECTOR_SCORE_THRESHOLD=0.30) para evitar alucinaciones.</w:t>
      </w:r>
    </w:p>
    <w:p>
      <w:pPr>
        <w:spacing w:before="240" w:after="80"/>
      </w:pPr>
      <w:r>
        <w:rPr>
          <w:b/>
          <w:color w:val="111827"/>
          <w:sz w:val="28"/>
        </w:rPr>
        <w:t>6. Comportamiento adaptativo</w:t>
      </w:r>
    </w:p>
    <w:p>
      <w:r>
        <w:t>El sistema adapta su comportamiento según la consulta (ver ejemplo en cada caso):</w:t>
      </w:r>
    </w:p>
    <w:p>
      <w:pPr>
        <w:pStyle w:val="ListBullet"/>
        <w:spacing w:after="40"/>
        <w:ind w:left="340"/>
      </w:pPr>
      <w:r>
        <w:t>Consulta directa de un dato exacto (grúa) -&gt; un solo paso de RAG.</w:t>
      </w:r>
    </w:p>
    <w:p>
      <w:pPr>
        <w:pStyle w:val="ListBullet"/>
        <w:spacing w:after="40"/>
        <w:ind w:left="340"/>
      </w:pPr>
      <w:r>
        <w:t>Consulta compuesta -&gt; plan multi-paso [siniestros, financiero] y ejecución en orden.</w:t>
      </w:r>
    </w:p>
    <w:p>
      <w:pPr>
        <w:pStyle w:val="ListBullet"/>
        <w:spacing w:after="40"/>
        <w:ind w:left="340"/>
      </w:pPr>
      <w:r>
        <w:t>Seguimiento de contexto -&gt; reutiliza el turno previo para resolver el referente.</w:t>
      </w:r>
    </w:p>
    <w:p>
      <w:pPr>
        <w:pStyle w:val="ListBullet"/>
        <w:spacing w:after="40"/>
        <w:ind w:left="340"/>
      </w:pPr>
      <w:r>
        <w:t>Fuera de dominio -&gt; responde «no cuento con esa información» (anti-alucinación).</w:t>
      </w:r>
    </w:p>
    <w:p>
      <w:pPr>
        <w:pStyle w:val="ListBullet"/>
        <w:spacing w:after="40"/>
        <w:ind w:left="340"/>
      </w:pPr>
      <w:r>
        <w:t>Pregunta sensible sobre póliza (ebriedad) -&gt; responde factualmente sobre la exclusión.</w:t>
      </w:r>
    </w:p>
    <w:p>
      <w:pPr>
        <w:spacing w:after="60"/>
      </w:pPr>
      <w:r>
        <w:rPr>
          <w:b/>
          <w:color w:val="B42318"/>
        </w:rPr>
        <w:t xml:space="preserve">[COMPLETAR — redactar tú] </w:t>
      </w:r>
      <w:r>
        <w:rPr>
          <w:i/>
          <w:color w:val="6B7280"/>
        </w:rPr>
        <w:t>Explica TÚ por qué estas decisiones adaptativas son adecuadas e incluye evidencia (capturas o trazas). Este punto es evaluado (IE7).</w:t>
      </w:r>
    </w:p>
    <w:p>
      <w:pPr>
        <w:spacing w:before="240" w:after="80"/>
      </w:pPr>
      <w:r>
        <w:rPr>
          <w:b/>
          <w:color w:val="111827"/>
          <w:sz w:val="28"/>
        </w:rPr>
        <w:t>7. Decisiones de diseño y justificación de componentes</w:t>
      </w:r>
    </w:p>
    <w:p>
      <w:pPr>
        <w:spacing w:after="60"/>
      </w:pPr>
      <w:r>
        <w:rPr>
          <w:b/>
          <w:color w:val="B42318"/>
        </w:rPr>
        <w:t xml:space="preserve">[COMPLETAR — redactar tú] </w:t>
      </w:r>
      <w:r>
        <w:rPr>
          <w:i/>
          <w:color w:val="6B7280"/>
        </w:rPr>
        <w:t>Redacta TÚ la justificación técnica de cada componente (IE9): elección de LangGraph frente a CrewAI (compatibilidad con Python 3.14), RAG híbrido, ejecutor determinista vs. tool calling, memoria en dos niveles, modelo local (privacidad, coste, latencia) y separación entre obtención de datos y composición.</w:t>
      </w:r>
    </w:p>
    <w:p>
      <w:pPr>
        <w:spacing w:before="240" w:after="80"/>
      </w:pPr>
      <w:r>
        <w:rPr>
          <w:b/>
          <w:color w:val="111827"/>
          <w:sz w:val="28"/>
        </w:rPr>
        <w:t>8. Pruebas y evidencia</w:t>
      </w:r>
    </w:p>
    <w:p>
      <w:r>
        <w:t>La batería de pruebas unitarias (31 pruebas, unittest) cubre recuperación, herramientas, memoria, planificador, escritura y saneamiento de respuestas. Comando:</w:t>
      </w:r>
    </w:p>
    <w:p>
      <w:pPr>
        <w:spacing w:after="120"/>
      </w:pPr>
      <w:r>
        <w:rPr>
          <w:rFonts w:ascii="Consolas" w:hAnsi="Consolas"/>
          <w:color w:val="6B7280"/>
          <w:sz w:val="18"/>
        </w:rPr>
        <w:t>PYTHONPATH=. .venv/bin/python -m unittest discover -s tests -v</w:t>
      </w:r>
    </w:p>
    <w:p>
      <w:r>
        <w:t>Casos demostrativos:</w:t>
      </w:r>
    </w:p>
    <w:p>
      <w:pPr>
        <w:pStyle w:val="ListBullet"/>
        <w:spacing w:after="40"/>
        <w:ind w:left="340"/>
      </w:pPr>
      <w:r>
        <w:t>«¿Cuál es el número para pedir grúa?» -&gt; 800-500-100.</w:t>
      </w:r>
    </w:p>
    <w:p>
      <w:pPr>
        <w:pStyle w:val="ListBullet"/>
        <w:spacing w:after="40"/>
        <w:ind w:left="340"/>
      </w:pPr>
      <w:r>
        <w:t>«¿Cuánto es el deducible?» -&gt; «¿Y eso en pesos?» -&gt; 5 UF -&gt; CLP con la UF vigente.</w:t>
      </w:r>
    </w:p>
    <w:p>
      <w:pPr>
        <w:pStyle w:val="ListBullet"/>
        <w:spacing w:after="40"/>
        <w:ind w:left="340"/>
      </w:pPr>
      <w:r>
        <w:t>«¿Cuál es la política de viáticos?» -&gt; «No cuento con esa información».</w:t>
      </w:r>
    </w:p>
    <w:p>
      <w:pPr>
        <w:pStyle w:val="ListBullet"/>
        <w:spacing w:after="40"/>
        <w:ind w:left="340"/>
      </w:pPr>
      <w:r>
        <w:t>«¿Cubren la conducción en estado de ebriedad?» -&gt; exclusión (no cubierta).</w:t>
      </w:r>
    </w:p>
    <w:p>
      <w:pPr>
        <w:pStyle w:val="ListBullet"/>
        <w:spacing w:after="40"/>
        <w:ind w:left="340"/>
      </w:pPr>
      <w:r>
        <w:t>«Registra un choque de ABCD12 y dime el deducible en pesos» -&gt; folio SIN-… + 5 UF -&gt; CLP.</w:t>
      </w:r>
    </w:p>
    <w:p>
      <w:pPr>
        <w:spacing w:after="60"/>
      </w:pPr>
      <w:r>
        <w:rPr>
          <w:b/>
          <w:color w:val="B42318"/>
        </w:rPr>
        <w:t xml:space="preserve">[COMPLETAR — redactar tú] </w:t>
      </w:r>
      <w:r>
        <w:rPr>
          <w:i/>
          <w:color w:val="6B7280"/>
        </w:rPr>
        <w:t>Adjunta evidencia: capturas de la app (panel de trazabilidad), salida de los tests y, si aplica, el repositorio en GitHub con el README.</w:t>
      </w:r>
    </w:p>
    <w:p>
      <w:pPr>
        <w:spacing w:before="240" w:after="80"/>
      </w:pPr>
      <w:r>
        <w:rPr>
          <w:b/>
          <w:color w:val="111827"/>
          <w:sz w:val="28"/>
        </w:rPr>
        <w:t>9. Conclusiones y reflexión personal</w:t>
      </w:r>
    </w:p>
    <w:p>
      <w:pPr>
        <w:spacing w:after="60"/>
      </w:pPr>
      <w:r>
        <w:rPr>
          <w:b/>
          <w:color w:val="B42318"/>
        </w:rPr>
        <w:t xml:space="preserve">[COMPLETAR — redactar tú] </w:t>
      </w:r>
      <w:r>
        <w:rPr>
          <w:i/>
          <w:color w:val="6B7280"/>
        </w:rPr>
        <w:t>PROHIBIDO ESCRIBIRLO CON IA. Redacta tú las conclusiones y la reflexión individual sobre el proceso de aprendizaje.</w:t>
      </w:r>
    </w:p>
    <w:p>
      <w:pPr>
        <w:spacing w:before="240" w:after="80"/>
      </w:pPr>
      <w:r>
        <w:rPr>
          <w:b/>
          <w:color w:val="111827"/>
          <w:sz w:val="28"/>
        </w:rPr>
        <w:t>10. Declaración de uso de IA</w:t>
      </w:r>
    </w:p>
    <w:p>
      <w:pPr>
        <w:spacing w:after="60"/>
      </w:pPr>
      <w:r>
        <w:rPr>
          <w:b/>
          <w:color w:val="B42318"/>
        </w:rPr>
        <w:t xml:space="preserve">[COMPLETAR — redactar tú] </w:t>
      </w:r>
      <w:r>
        <w:rPr>
          <w:i/>
          <w:color w:val="6B7280"/>
        </w:rPr>
        <w:t>Confirma y ajusta esta declaración: se utilizó IA como apoyo para generar y depurar código, redactar documentación técnica y diagramas; las conclusiones, la justificación de componentes y la reflexión personal fueron redactadas íntegramente por el estudiante.</w:t>
      </w:r>
    </w:p>
    <w:p>
      <w:pPr>
        <w:spacing w:before="240" w:after="80"/>
      </w:pPr>
      <w:r>
        <w:rPr>
          <w:b/>
          <w:color w:val="111827"/>
          <w:sz w:val="28"/>
        </w:rPr>
        <w:t>11. Referencias (APA 7.ª ed.)</w:t>
      </w:r>
    </w:p>
    <w:p>
      <w:pPr>
        <w:spacing w:after="60"/>
        <w:ind w:left="425" w:hanging="425"/>
      </w:pPr>
      <w:r>
        <w:rPr>
          <w:sz w:val="20"/>
        </w:rPr>
        <w:t>Anthropic. (2026). Claude [Modelo de lenguaje grande]. https://www.anthropic.com</w:t>
      </w:r>
    </w:p>
    <w:p>
      <w:pPr>
        <w:spacing w:after="60"/>
        <w:ind w:left="425" w:hanging="425"/>
      </w:pPr>
      <w:r>
        <w:rPr>
          <w:sz w:val="20"/>
        </w:rPr>
        <w:t>Chroma. (2026). Chroma: The AI-native open-source embedding database. https://www.trychroma.com</w:t>
      </w:r>
    </w:p>
    <w:p>
      <w:pPr>
        <w:spacing w:after="60"/>
        <w:ind w:left="425" w:hanging="425"/>
      </w:pPr>
      <w:r>
        <w:rPr>
          <w:sz w:val="20"/>
        </w:rPr>
        <w:t>LangChain. (2026). LangChain: Build context-aware reasoning applications. https://python.langchain.com</w:t>
      </w:r>
    </w:p>
    <w:p>
      <w:pPr>
        <w:spacing w:after="60"/>
        <w:ind w:left="425" w:hanging="425"/>
      </w:pPr>
      <w:r>
        <w:rPr>
          <w:sz w:val="20"/>
        </w:rPr>
        <w:t>LangGraph. (2026). LangGraph: Build resilient agents. https://langchain-ai.github.io/langgraph/</w:t>
      </w:r>
    </w:p>
    <w:p>
      <w:pPr>
        <w:spacing w:after="60"/>
        <w:ind w:left="425" w:hanging="425"/>
      </w:pPr>
      <w:r>
        <w:rPr>
          <w:sz w:val="20"/>
        </w:rPr>
        <w:t>Mindicador. (2026). Indicadores económicos: Unidad de Fomento (UF). https://mindicador.cl</w:t>
      </w:r>
    </w:p>
    <w:p>
      <w:pPr>
        <w:spacing w:after="60"/>
        <w:ind w:left="425" w:hanging="425"/>
      </w:pPr>
      <w:r>
        <w:rPr>
          <w:sz w:val="20"/>
        </w:rPr>
        <w:t>NVIDIA. (2026). NVIDIA NIM microservices. https://build.nvidia.com</w:t>
      </w:r>
    </w:p>
    <w:p>
      <w:pPr>
        <w:spacing w:after="60"/>
        <w:ind w:left="425" w:hanging="425"/>
      </w:pPr>
      <w:r>
        <w:rPr>
          <w:sz w:val="20"/>
        </w:rPr>
        <w:t>Ollama. (2026). Ollama: Run large language models locally. https://ollama.com</w:t>
      </w:r>
    </w:p>
    <w:p>
      <w:pPr>
        <w:spacing w:after="60"/>
        <w:ind w:left="425" w:hanging="425"/>
      </w:pPr>
      <w:r>
        <w:rPr>
          <w:sz w:val="20"/>
        </w:rPr>
        <w:t>Qwen Team. (2026). Qwen2.5 technical report. Alibaba Cloud.</w:t>
      </w:r>
    </w:p>
    <w:p>
      <w:pPr>
        <w:spacing w:after="60"/>
        <w:ind w:left="425" w:hanging="425"/>
      </w:pPr>
      <w:r>
        <w:rPr>
          <w:sz w:val="20"/>
        </w:rPr>
        <w:t>Streamlit. (2026). Streamlit: A faster way to build and share data apps. https://streamlit.io</w:t>
      </w:r>
    </w:p>
    <w:p>
      <w:pPr>
        <w:spacing w:after="60"/>
      </w:pPr>
      <w:r>
        <w:rPr>
          <w:b/>
          <w:color w:val="B42318"/>
        </w:rPr>
        <w:t xml:space="preserve">[COMPLETAR — redactar tú] </w:t>
      </w:r>
      <w:r>
        <w:rPr>
          <w:i/>
          <w:color w:val="6B7280"/>
        </w:rPr>
        <w:t>Verifica y completa las referencias según las fuentes que realmente usaste.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