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a7a6e"/>
          <w:sz w:val="36"/>
          <w:szCs w:val="36"/>
        </w:rPr>
        <w:t xml:space="preserve">VitalMetrics — Entscheidungsvorlage</w:t>
      </w:r>
    </w:p>
    <w:p>
      <w:pPr>
        <w:spacing w:after="40"/>
      </w:pPr>
      <w:r>
        <w:rPr>
          <w:color w:val="555555"/>
          <w:sz w:val="24"/>
          <w:szCs w:val="24"/>
        </w:rPr>
        <w:t xml:space="preserve">Version 2 · Für Nicole Döhring · Grundlage: Experten-Review Runde 1–3 (19.–21.07.2026)</w:t>
      </w:r>
    </w:p>
    <w:p>
      <w:pPr>
        <w:spacing w:after="300"/>
      </w:pPr>
      <w:r>
        <w:rPr>
          <w:i/>
          <w:iCs/>
          <w:color w:val="777777"/>
          <w:sz w:val="20"/>
          <w:szCs w:val="20"/>
        </w:rPr>
        <w:t xml:space="preserve">10 Entscheidungspunkte: 3 bereits getroffen und umgesetzt, 7 offen — inkl. 4 neuer Punkte aus der Content- und Compliance-Vertiefung.</w:t>
      </w:r>
    </w:p>
    <w:p>
      <w:pPr>
        <w:pBdr>
          <w:bottom w:val="single" w:color="CCCCCC" w:sz="6" w:space="4"/>
        </w:pBdr>
        <w:spacing w:after="220" w:before="100"/>
      </w:pPr>
    </w:p>
    <w:p>
      <w:pPr>
        <w:pStyle w:val="Heading2"/>
        <w:spacing w:after="100" w:before="260"/>
      </w:pPr>
      <w:r>
        <w:t xml:space="preserve">Entscheidung 1: Architektur — app/src oder Monolith?</w:t>
      </w:r>
    </w:p>
    <w:p>
      <w:pPr>
        <w:spacing w:after="60"/>
      </w:pPr>
      <w:r>
        <w:rPr>
          <w:b/>
          <w:bCs/>
          <w:color w:val="2E7D32"/>
          <w:sz w:val="20"/>
          <w:szCs w:val="20"/>
        </w:rPr>
        <w:t xml:space="preserve">ENTSCHIEDEN UND UMGESETZT</w:t>
      </w:r>
    </w:p>
    <w:p>
      <w:pPr>
        <w:spacing w:after="100"/>
      </w:pPr>
      <w:r>
        <w:t xml:space="preserve">Getroffene Entscheidung: app/src zu Ende führen, Monolith abgelöst. Alle Features portiert (Bewegung, Zyklus, Ernährung/BLS 4.0, Tools-Hub, PDF-Export), Nav/Router-Gesamttest durchgeführt.</w:t>
      </w:r>
    </w:p>
    <w:p>
      <w:pPr>
        <w:pStyle w:val="Heading2"/>
        <w:spacing w:after="100" w:before="260"/>
      </w:pPr>
      <w:r>
        <w:t xml:space="preserve">Entscheidung 2: Amazon-Affiliate-Monetarisierung — Paywall-Struktur</w:t>
      </w:r>
    </w:p>
    <w:p>
      <w:pPr>
        <w:spacing w:after="60"/>
      </w:pPr>
      <w:r>
        <w:rPr>
          <w:b/>
          <w:bCs/>
          <w:color w:val="2E7D32"/>
          <w:sz w:val="20"/>
          <w:szCs w:val="20"/>
        </w:rPr>
        <w:t xml:space="preserve">ENTSCHIEDEN UND UMGESETZT</w:t>
      </w:r>
    </w:p>
    <w:p>
      <w:pPr>
        <w:spacing w:after="100"/>
      </w:pPr>
      <w:r>
        <w:t xml:space="preserve">Getroffene Entscheidung: Option 1 — Paywall angepasst, Amazon-Links (sobald aktiv) für alle sichtbar, nur Verlauf/Einordnung bleiben Premium. Technisch fertig, Amazon-Box hinter Feature-Flag (AFFILIATE_LINKS_ENABLED).</w:t>
      </w:r>
    </w:p>
    <w:p>
      <w:pPr>
        <w:pStyle w:val="Heading2"/>
        <w:spacing w:after="100" w:before="260"/>
      </w:pPr>
      <w:r>
        <w:t xml:space="preserve">Entscheidung 2b (NEU): Amazon-Supplement-Box aktivieren oder dauerhaft weglassen?</w:t>
      </w:r>
    </w:p>
    <w:p>
      <w:pPr>
        <w:spacing w:after="100"/>
      </w:pPr>
      <w:r>
        <w:t xml:space="preserve">Direkte Folgefrage aus Entscheidung 2, jetzt eigenständig zu klären. Seit Runde 3 haben sich mehrere Gründe gegen eine Aktivierung verdichtet: unsichere Amazon-Zulassung, ungeklärtes Melatonin-/Berberin-Risiko, zusätzliches Google-Play-Prüfrisiko ("Health Misinformation"/"Unapproved Substances"), und die MDR-Warnung, dass Produktempfehlungen an eine Status-Ampel die Medizinprodukt-Einstufung riskanter machen.</w:t>
      </w:r>
    </w:p>
    <w:p>
      <w:pPr>
        <w:spacing w:after="60"/>
      </w:pPr>
      <w:r>
        <w:t xml:space="preserve">☐  Aktivieren, sobald die Amazon-Zulassung vorliegt (wie ursprünglich geplant)</w:t>
      </w:r>
    </w:p>
    <w:p>
      <w:pPr>
        <w:spacing w:after="60"/>
      </w:pPr>
      <w:r>
        <w:t xml:space="preserve">☐  Dauerhaft deaktiviert lassen, Monetarisierung ausschließlich über das Premium-Abo</w:t>
      </w:r>
    </w:p>
    <w:p>
      <w:pPr>
        <w:spacing w:after="60"/>
      </w:pPr>
      <w:r>
        <w:t xml:space="preserve">☐  Später entscheiden, vorerst AFFILIATE_LINKS_ENABLED = false belassen</w:t>
      </w:r>
    </w:p>
    <w:p>
      <w:pPr>
        <w:spacing w:after="100"/>
      </w:pPr>
      <w:r>
        <w:rPr>
          <w:b/>
          <w:bCs/>
        </w:rPr>
        <w:t xml:space="preserve">Empfehlung des Expertenrats: </w:t>
      </w:r>
      <w:r>
        <w:t xml:space="preserve">Mehrheitlich Option 2 (dauerhaft weglassen) oder ersatzweise Option 3 — Option 1 nur, wenn Amazon-Zulassung und Melatonin-/Berberin-Frage beide sauber geklärt sind.</w:t>
      </w:r>
    </w:p>
    <w:p>
      <w:pPr>
        <w:spacing w:after="60"/>
      </w:pPr>
      <w:r>
        <w:t xml:space="preserve">Meine Entscheidung: _______________________________________________</w:t>
      </w:r>
    </w:p>
    <w:p>
      <w:pPr>
        <w:pStyle w:val="Heading2"/>
        <w:spacing w:after="100" w:before="260"/>
      </w:pPr>
      <w:r>
        <w:t xml:space="preserve">Entscheidung 3: Diagnostiknahe Selbsttest-Links</w:t>
      </w:r>
    </w:p>
    <w:p>
      <w:pPr>
        <w:spacing w:after="60"/>
      </w:pPr>
      <w:r>
        <w:rPr>
          <w:b/>
          <w:bCs/>
          <w:color w:val="2E7D32"/>
          <w:sz w:val="20"/>
          <w:szCs w:val="20"/>
        </w:rPr>
        <w:t xml:space="preserve">ENTSCHIEDEN UND UMGESETZT</w:t>
      </w:r>
    </w:p>
    <w:p>
      <w:pPr>
        <w:spacing w:after="100"/>
      </w:pPr>
      <w:r>
        <w:t xml:space="preserve">Test-Kauf-Links für Zonulin, Calprotectin, Cortisol, Testosteron, Mikrobiom, SCFA, Serotonin entfernt. Marker bleiben für manuelle Werteingabe erhalten.</w:t>
      </w:r>
    </w:p>
    <w:p>
      <w:pPr>
        <w:pStyle w:val="Heading2"/>
        <w:spacing w:after="100" w:before="260"/>
      </w:pPr>
      <w:r>
        <w:t xml:space="preserve">Entscheidung 4: Zeitpunkt für den TikTok-Content-Start</w:t>
      </w:r>
    </w:p>
    <w:p>
      <w:pPr>
        <w:spacing w:after="60"/>
      </w:pPr>
      <w:r>
        <w:rPr>
          <w:b/>
          <w:bCs/>
          <w:color w:val="666666"/>
          <w:sz w:val="20"/>
          <w:szCs w:val="20"/>
        </w:rPr>
        <w:t xml:space="preserve">WEITERHIN OFFEN</w:t>
      </w:r>
    </w:p>
    <w:p>
      <w:pPr>
        <w:spacing w:after="100"/>
      </w:pPr>
      <w:r>
        <w:t xml:space="preserve">TikTok-Aufklärungscontent kann unabhängig von der App laufen, aber die App-Verlinkung und Amazon-Affiliate-Erwähnung sollten erst folgen, wenn Phase 1 (jetzt inkl. Google-Play-Health-Deklaration und Wellness-Positionierung) abgeschlossen ist.</w:t>
      </w:r>
    </w:p>
    <w:p>
      <w:pPr>
        <w:spacing w:after="60"/>
      </w:pPr>
      <w:r>
        <w:t xml:space="preserve">☐  Aufklärungs-Content jetzt starten, App-/Amazon-Erwähnung erst nach Phase-1-Abschluss</w:t>
      </w:r>
    </w:p>
    <w:p>
      <w:pPr>
        <w:spacing w:after="60"/>
      </w:pPr>
      <w:r>
        <w:t xml:space="preserve">☐  Kompletten TikTok-Start verschieben, bis alle rechtlichen Punkte geklärt sind</w:t>
      </w:r>
    </w:p>
    <w:p>
      <w:pPr>
        <w:spacing w:after="60"/>
      </w:pPr>
      <w:r>
        <w:t xml:space="preserve">☐  Sofort vollständig starten, inklusive App- und Produktverlinkung</w:t>
      </w:r>
    </w:p>
    <w:p>
      <w:pPr>
        <w:spacing w:after="100"/>
      </w:pPr>
      <w:r>
        <w:rPr>
          <w:b/>
          <w:bCs/>
        </w:rPr>
        <w:t xml:space="preserve">Empfehlung des Expertenrats: </w:t>
      </w:r>
      <w:r>
        <w:t xml:space="preserve">Option 1 — Reichweite und Vertrauen jetzt aufbauen, ohne die noch ungelösten rechtlichen Punkte in die Öffentlichkeit zu tragen.</w:t>
      </w:r>
    </w:p>
    <w:p>
      <w:pPr>
        <w:spacing w:after="60"/>
      </w:pPr>
      <w:r>
        <w:t xml:space="preserve">Meine Entscheidung: _______________________________________________</w:t>
      </w:r>
    </w:p>
    <w:p>
      <w:pPr>
        <w:pStyle w:val="Heading2"/>
        <w:spacing w:after="100" w:before="260"/>
      </w:pPr>
      <w:r>
        <w:t xml:space="preserve">Entscheidung 5: Budget für externe Prüfungen</w:t>
      </w:r>
    </w:p>
    <w:p>
      <w:pPr>
        <w:spacing w:after="60"/>
      </w:pPr>
      <w:r>
        <w:rPr>
          <w:b/>
          <w:bCs/>
          <w:color w:val="666666"/>
          <w:sz w:val="20"/>
          <w:szCs w:val="20"/>
        </w:rPr>
        <w:t xml:space="preserve">WEITERHIN OFFEN</w:t>
      </w:r>
    </w:p>
    <w:p>
      <w:pPr>
        <w:spacing w:after="100"/>
      </w:pPr>
      <w:r>
        <w:t xml:space="preserve">Fachanwalt HWG/Medizinprodukterecht, Datenschutzberater, Regulatory-Affairs-Berater. Jetzt zusätzlich relevant: Klärung, ob für ein Play-Console-Organisationskonto eine Gewerbeanmeldung/D-U-N-S-Nummer nötig wird.</w:t>
      </w:r>
    </w:p>
    <w:p>
      <w:pPr>
        <w:spacing w:after="60"/>
      </w:pPr>
      <w:r>
        <w:t xml:space="preserve">☐  Budget freigeben und alle drei extern beauftragen</w:t>
      </w:r>
    </w:p>
    <w:p>
      <w:pPr>
        <w:spacing w:after="60"/>
      </w:pPr>
      <w:r>
        <w:t xml:space="preserve">☐  Nur den dringendsten Punkt extern klären (Anwalt für Diagnostik-/Health-Claims-Frage), Rest zurückstellen</w:t>
      </w:r>
    </w:p>
    <w:p>
      <w:pPr>
        <w:spacing w:after="60"/>
      </w:pPr>
      <w:r>
        <w:t xml:space="preserve">☐  Vorerst keine externe Prüfung, auf eigenes Risiko weiterarbeiten</w:t>
      </w:r>
    </w:p>
    <w:p>
      <w:pPr>
        <w:spacing w:after="100"/>
      </w:pPr>
      <w:r>
        <w:rPr>
          <w:b/>
          <w:bCs/>
        </w:rPr>
        <w:t xml:space="preserve">Empfehlung des Expertenrats: </w:t>
      </w:r>
      <w:r>
        <w:t xml:space="preserve">Mindestens Option 2 — der Fachanwalt für die Diagnostik-/Health-Claims-Frage bleibt der Punkt mit dem größten kurzfristigen Risiko.</w:t>
      </w:r>
    </w:p>
    <w:p>
      <w:pPr>
        <w:spacing w:after="60"/>
      </w:pPr>
      <w:r>
        <w:t xml:space="preserve">Meine Entscheidung: _______________________________________________</w:t>
      </w:r>
    </w:p>
    <w:p>
      <w:pPr>
        <w:pStyle w:val="Heading2"/>
        <w:spacing w:after="100" w:before="260"/>
      </w:pPr>
      <w:r>
        <w:t xml:space="preserve">Entscheidung 6: Reihenfolge der nächsten Arbeitsschritte</w:t>
      </w:r>
    </w:p>
    <w:p>
      <w:pPr>
        <w:spacing w:after="60"/>
      </w:pPr>
      <w:r>
        <w:rPr>
          <w:b/>
          <w:bCs/>
          <w:color w:val="E65100"/>
          <w:sz w:val="20"/>
          <w:szCs w:val="20"/>
        </w:rPr>
        <w:t xml:space="preserve">IMPLIZIT BEFOLGT, WEITER GÜLTIG</w:t>
      </w:r>
    </w:p>
    <w:p>
      <w:pPr>
        <w:spacing w:after="100"/>
      </w:pPr>
      <w:r>
        <w:t xml:space="preserve">Ergibt sich aus der gemeinsamen Schlussfolgerung im Aktionsplan v2 (Abschnitt 4, Punkt 6) — aktualisierte Reihenfolge inkl. Google-Play- und Reframing-Themen.</w:t>
      </w:r>
    </w:p>
    <w:p>
      <w:pPr>
        <w:spacing w:after="60"/>
      </w:pPr>
      <w:r>
        <w:t xml:space="preserve">☐  Wie im Aktionsplan v2 vorgeschlagen (aktualisierte Reihenfolge) übernehmen</w:t>
      </w:r>
    </w:p>
    <w:p>
      <w:pPr>
        <w:spacing w:after="60"/>
      </w:pPr>
      <w:r>
        <w:t xml:space="preserve">☐  Eigene Priorisierung festlegen</w:t>
      </w:r>
    </w:p>
    <w:p>
      <w:pPr>
        <w:spacing w:after="100"/>
      </w:pPr>
      <w:r>
        <w:rPr>
          <w:b/>
          <w:bCs/>
        </w:rPr>
        <w:t xml:space="preserve">Empfehlung des Expertenrats: </w:t>
      </w:r>
      <w:r>
        <w:t xml:space="preserve">Option 1 — die Reihenfolge berücksichtigt jetzt auch die neu gefundenen Google-Play- und Content-Punkte an der richtigen Stelle.</w:t>
      </w:r>
    </w:p>
    <w:p>
      <w:pPr>
        <w:spacing w:after="60"/>
      </w:pPr>
      <w:r>
        <w:t xml:space="preserve">Meine Entscheidung: _______________________________________________</w:t>
      </w:r>
    </w:p>
    <w:p>
      <w:pPr>
        <w:pStyle w:val="Heading2"/>
        <w:spacing w:after="100" w:before="260"/>
      </w:pPr>
      <w:r>
        <w:t xml:space="preserve">Entscheidung 7 (NEU): Zufuhr- vs. Laborwert-Modell für Vitamine/Mineralstoffe</w:t>
      </w:r>
    </w:p>
    <w:p>
      <w:pPr>
        <w:spacing w:after="100"/>
      </w:pPr>
      <w:r>
        <w:t xml:space="preserve">Kernbefund aus Runde 2: 13 Vitamine plus die meisten Spurenelemente verwenden DGE-Zufuhrwerte als Referenzbereich für ein Feld, das wie ein Bluttest-Ergebnis wirkt.</w:t>
      </w:r>
    </w:p>
    <w:p>
      <w:pPr>
        <w:spacing w:after="60"/>
      </w:pPr>
      <w:r>
        <w:t xml:space="preserve">☐  Option A: Reframing als tägliches Zufuhr-Tracking, verschmilzt mit dem Ernährungstagebuch</w:t>
      </w:r>
    </w:p>
    <w:p>
      <w:pPr>
        <w:spacing w:after="60"/>
      </w:pPr>
      <w:r>
        <w:t xml:space="preserve">☐  Option B: Echte Laborreferenzbereiche recherchieren und als zweites Feld ergänzen</w:t>
      </w:r>
    </w:p>
    <w:p>
      <w:pPr>
        <w:spacing w:after="60"/>
      </w:pPr>
      <w:r>
        <w:t xml:space="preserve">☐  Vorerst nichts ändern</w:t>
      </w:r>
    </w:p>
    <w:p>
      <w:pPr>
        <w:spacing w:after="100"/>
      </w:pPr>
      <w:r>
        <w:rPr>
          <w:b/>
          <w:bCs/>
        </w:rPr>
        <w:t xml:space="preserve">Empfehlung des Expertenrats: </w:t>
      </w:r>
      <w:r>
        <w:t xml:space="preserve">Option A — löst die inhaltliche Verwechslung und einen Teil des Daily-Use-Problems gleichzeitig, ohne neue medizinische Haftung durch recherchierte Laborschwellenwerte.</w:t>
      </w:r>
    </w:p>
    <w:p>
      <w:pPr>
        <w:spacing w:after="60"/>
      </w:pPr>
      <w:r>
        <w:t xml:space="preserve">Meine Entscheidung: _______________________________________________</w:t>
      </w:r>
    </w:p>
    <w:p>
      <w:pPr>
        <w:pStyle w:val="Heading2"/>
        <w:spacing w:after="100" w:before="260"/>
      </w:pPr>
      <w:r>
        <w:t xml:space="preserve">Entscheidung 8 (NEU): Play-Console-Kontotyp (Individual vs. Organization)</w:t>
      </w:r>
    </w:p>
    <w:p>
      <w:pPr>
        <w:spacing w:after="100"/>
      </w:pPr>
      <w:r>
        <w:t xml:space="preserve">Unbestätigter, aber ernstzunehmender Hinweis aus Fachblogs: Health-Apps sollen ab 28.01.2026 nur noch unter einem verifizierten Organisationskonto (mit D-U-N-S-Nummer) laufen dürfen. Auf Googles eigenen Seiten nicht direkt bestätigt.</w:t>
      </w:r>
    </w:p>
    <w:p>
      <w:pPr>
        <w:spacing w:after="60"/>
      </w:pPr>
      <w:r>
        <w:t xml:space="preserve">☐  Sofort auf ein Organisationskonto umstellen (vorsorglich)</w:t>
      </w:r>
    </w:p>
    <w:p>
      <w:pPr>
        <w:spacing w:after="60"/>
      </w:pPr>
      <w:r>
        <w:t xml:space="preserve">☐  Erst in der eigenen Play Console verifizieren, ob die Anforderung tatsächlich gilt, dann entscheiden</w:t>
      </w:r>
    </w:p>
    <w:p>
      <w:pPr>
        <w:spacing w:after="60"/>
      </w:pPr>
      <w:r>
        <w:t xml:space="preserve">☐  Bei Individual-Konto bleiben, Risiko in Kauf nehmen</w:t>
      </w:r>
    </w:p>
    <w:p>
      <w:pPr>
        <w:spacing w:after="100"/>
      </w:pPr>
      <w:r>
        <w:rPr>
          <w:b/>
          <w:bCs/>
        </w:rPr>
        <w:t xml:space="preserve">Empfehlung des Expertenrats: </w:t>
      </w:r>
      <w:r>
        <w:t xml:space="preserve">Option 2 — erst direkt in der Play Console prüfen, bevor Aufwand in eine möglicherweise nicht zutreffende Anforderung investiert wird.</w:t>
      </w:r>
    </w:p>
    <w:p>
      <w:pPr>
        <w:spacing w:after="60"/>
      </w:pPr>
      <w:r>
        <w:t xml:space="preserve">Meine Entscheidung: _______________________________________________</w:t>
      </w:r>
    </w:p>
    <w:p>
      <w:pPr>
        <w:pStyle w:val="Heading2"/>
        <w:spacing w:after="100" w:before="260"/>
      </w:pPr>
      <w:r>
        <w:t xml:space="preserve">Entscheidung 9 (NEU): Push-Notifications für tägliche Nutzung aktivieren</w:t>
      </w:r>
    </w:p>
    <w:p>
      <w:pPr>
        <w:spacing w:after="100"/>
      </w:pPr>
      <w:r>
        <w:t xml:space="preserve">Größter identifizierter Hebel für tägliche Nutzung (Runde 2/3): @capacitor/local-notifications ist installiert, aber ungenutzt. DSGVO-seitig unkritisch bei lokaler Planung und neutralen Benachrichtigungstexten.</w:t>
      </w:r>
    </w:p>
    <w:p>
      <w:pPr>
        <w:spacing w:after="60"/>
      </w:pPr>
      <w:r>
        <w:t xml:space="preserve">☐  Umsetzen wie in Runde 2/3 empfohlen (lokale Planung, neutrale Texte, Zweck in Consent-Screen)</w:t>
      </w:r>
    </w:p>
    <w:p>
      <w:pPr>
        <w:spacing w:after="60"/>
      </w:pPr>
      <w:r>
        <w:t xml:space="preserve">☐  Zurückstellen bis nach dem Launch</w:t>
      </w:r>
    </w:p>
    <w:p>
      <w:pPr>
        <w:spacing w:after="100"/>
      </w:pPr>
      <w:r>
        <w:rPr>
          <w:b/>
          <w:bCs/>
        </w:rPr>
        <w:t xml:space="preserve">Empfehlung des Expertenrats: </w:t>
      </w:r>
      <w:r>
        <w:t xml:space="preserve">Umsetzen — aber erst nachdem Consent-Screen und Health-Apps-Deklaration (Phase 1/2) stehen, damit der Erinnerungs-Zweck von Anfang an sauber dokumentiert ist.</w:t>
      </w:r>
    </w:p>
    <w:p>
      <w:pPr>
        <w:spacing w:after="60"/>
      </w:pPr>
      <w:r>
        <w:t xml:space="preserve">Meine Entscheidung: _______________________________________________</w:t>
      </w:r>
    </w:p>
    <w:p>
      <w:pPr>
        <w:pStyle w:val="Heading2"/>
        <w:spacing w:after="100" w:before="260"/>
      </w:pPr>
      <w:r>
        <w:t xml:space="preserve">Entscheidung 10 (NEU): Wellness- statt Healthcare-Positionierung konsequent durchziehen</w:t>
      </w:r>
    </w:p>
    <w:p>
      <w:pPr>
        <w:spacing w:after="100"/>
      </w:pPr>
      <w:r>
        <w:t xml:space="preserve">Google unterscheidet zwischen "Health and fitness apps" (Wellness, nur Selbst-Disclaimer nötig) und "Medical apps" (Zulassungsnachweis nötig). Beide fallen unter die Health-Apps-Deklaration, aber nur Medical-Apps brauchen eine behördliche Zulassung. Die Einordnung hängt von der tatsächlichen Funktion und der durchgehenden Sprache ab, nicht vom gewählten Label allein.</w:t>
      </w:r>
    </w:p>
    <w:p>
      <w:pPr>
        <w:spacing w:after="60"/>
      </w:pPr>
      <w:r>
        <w:t xml:space="preserve">☐  Wellness-/Health-and-fitness-Positionierung konsequent in Store-Listing, App-Texten, PDF-Bericht und TikTok-Content durchziehen</w:t>
      </w:r>
    </w:p>
    <w:p>
      <w:pPr>
        <w:spacing w:after="60"/>
      </w:pPr>
      <w:r>
        <w:t xml:space="preserve">☐  Positionierung offenlassen, von Fall zu Fall entscheiden</w:t>
      </w:r>
    </w:p>
    <w:p>
      <w:pPr>
        <w:spacing w:after="100"/>
      </w:pPr>
      <w:r>
        <w:rPr>
          <w:b/>
          <w:bCs/>
        </w:rPr>
        <w:t xml:space="preserve">Empfehlung des Expertenrats: </w:t>
      </w:r>
      <w:r>
        <w:t xml:space="preserve">Erste Option — deckt sich mit der bereits verfolgten "kein Medizinprodukt"-Linie und ist Voraussetzung für die leichtere Google-Play-Kategorie.</w:t>
      </w:r>
    </w:p>
    <w:p>
      <w:pPr>
        <w:spacing w:after="60"/>
      </w:pPr>
      <w:r>
        <w:t xml:space="preserve">Meine Entscheidung: _______________________________________________</w:t>
      </w:r>
    </w:p>
    <w:p>
      <w:pPr>
        <w:pBdr>
          <w:bottom w:val="single" w:color="CCCCCC" w:sz="6" w:space="4"/>
        </w:pBdr>
        <w:spacing w:after="220" w:before="100"/>
      </w:pPr>
    </w:p>
    <w:p>
      <w:pPr>
        <w:spacing w:before="200"/>
      </w:pPr>
      <w:r>
        <w:t xml:space="preserve">Datum: _______________        Unterschrift/Freigabe: 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260"/>
    </w:pPr>
    <w:rPr>
      <w:b/>
      <w:bCs/>
      <w:color w:val="1a7a6e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2026-07-21T04:01:54.772Z</dcterms:created>
  <dcterms:modified xsi:type="dcterms:W3CDTF">2026-07-21T04:01:54.772Z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