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3A5C"/>
          <w:sz w:val="52"/>
          <w:szCs w:val="52"/>
        </w:rPr>
        <w:t xml:space="preserve">VitalMetrics</w:t>
      </w:r>
    </w:p>
    <w:p>
      <w:pPr>
        <w:spacing w:after="60" w:before="0"/>
      </w:pPr>
      <w:r>
        <w:rPr>
          <w:rFonts w:ascii="Arial" w:cs="Arial" w:eastAsia="Arial" w:hAnsi="Arial"/>
          <w:i/>
          <w:iCs/>
          <w:color w:val="006B6B"/>
          <w:sz w:val="28"/>
          <w:szCs w:val="28"/>
        </w:rPr>
        <w:t xml:space="preserve">Gesundheit beginnt mit dem, was wir essen.</w:t>
      </w:r>
    </w:p>
    <w:p>
      <w:pPr>
        <w:spacing w:after="240" w:before="0"/>
      </w:pPr>
      <w:r>
        <w:rPr>
          <w:rFonts w:ascii="Arial" w:cs="Arial" w:eastAsia="Arial" w:hAnsi="Arial"/>
          <w:color w:val="888888"/>
          <w:sz w:val="20"/>
          <w:szCs w:val="20"/>
        </w:rPr>
        <w:t xml:space="preserve">Executive Summary | Startup-Pitch für GATEWAY49 Lübeck</w:t>
      </w:r>
    </w:p>
    <w:p>
      <w:pPr>
        <w:pBdr>
          <w:bottom w:val="single" w:color="006B6B" w:sz="6" w:space="1"/>
        </w:pBdr>
        <w:spacing w:after="120" w:before="120"/>
      </w:pPr>
      <w:r>
        <w:t xml:space="preserve"/>
      </w:r>
    </w:p>
    <w:p>
      <w:pPr>
        <w:pStyle w:val="Heading1"/>
        <w:spacing w:after="120" w:before="360"/>
      </w:pPr>
      <w:r>
        <w:rPr>
          <w:rFonts w:ascii="Arial" w:cs="Arial" w:eastAsia="Arial" w:hAnsi="Arial"/>
          <w:b/>
          <w:bCs/>
          <w:color w:val="1B3A5C"/>
          <w:sz w:val="28"/>
          <w:szCs w:val="28"/>
        </w:rPr>
        <w:t xml:space="preserve">Das Problem</w:t>
      </w:r>
    </w:p>
    <w:p>
      <w:pPr>
        <w:spacing w:after="80" w:before="80"/>
      </w:pPr>
      <w:r>
        <w:rPr>
          <w:rFonts w:ascii="Arial" w:cs="Arial" w:eastAsia="Arial" w:hAnsi="Arial"/>
          <w:sz w:val="22"/>
          <w:szCs w:val="22"/>
        </w:rPr>
        <w:t xml:space="preserve">Millionen Menschen nehmen täglich Vitamine ein — oft ohne zu wissen, ob sie davon zu viel, zu wenig oder die falschen bekommen. Mangelzustände bei Vitamin D, Magnesium, Eisen oder B12 sind weit verbreitet, bleiben aber jahrelang unerkannt, weil es kein einfaches Werkzeug gibt, das die Lücke zwischen Ernährung und Körperwerten schließt.</w:t>
      </w:r>
    </w:p>
    <w:p>
      <w:pPr>
        <w:spacing w:after="0" w:before="120"/>
      </w:pPr>
      <w:r>
        <w:t xml:space="preserve"/>
      </w:r>
    </w:p>
    <w:p>
      <w:pPr>
        <w:spacing w:after="80" w:before="80"/>
      </w:pPr>
      <w:r>
        <w:rPr>
          <w:rFonts w:ascii="Arial" w:cs="Arial" w:eastAsia="Arial" w:hAnsi="Arial"/>
          <w:sz w:val="22"/>
          <w:szCs w:val="22"/>
        </w:rPr>
        <w:t xml:space="preserve">Gleichzeitig explodieren die Kosten im Gesundheitswesen — dabei ließen sich viele chronische Erkrankungen durch gezielte Ernährungsoptimierung verhindern oder zumindest verzögern.</w:t>
      </w:r>
    </w:p>
    <w:p>
      <w:pPr>
        <w:spacing w:after="0" w:before="120"/>
      </w:pPr>
      <w:r>
        <w:t xml:space="preserve"/>
      </w:r>
    </w:p>
    <w:p>
      <w:pPr>
        <w:pBdr>
          <w:bottom w:val="single" w:color="006B6B" w:sz="6" w:space="1"/>
        </w:pBdr>
        <w:spacing w:after="120" w:before="120"/>
      </w:pPr>
      <w:r>
        <w:t xml:space="preserve"/>
      </w:r>
    </w:p>
    <w:p>
      <w:pPr>
        <w:pStyle w:val="Heading1"/>
        <w:spacing w:after="120" w:before="360"/>
      </w:pPr>
      <w:r>
        <w:rPr>
          <w:rFonts w:ascii="Arial" w:cs="Arial" w:eastAsia="Arial" w:hAnsi="Arial"/>
          <w:b/>
          <w:bCs/>
          <w:color w:val="1B3A5C"/>
          <w:sz w:val="28"/>
          <w:szCs w:val="28"/>
        </w:rPr>
        <w:t xml:space="preserve">Die Lösung: VitalMetrics</w:t>
      </w:r>
    </w:p>
    <w:p>
      <w:pPr>
        <w:spacing w:after="80" w:before="80"/>
      </w:pPr>
      <w:r>
        <w:rPr>
          <w:rFonts w:ascii="Arial" w:cs="Arial" w:eastAsia="Arial" w:hAnsi="Arial"/>
          <w:sz w:val="22"/>
          <w:szCs w:val="22"/>
        </w:rPr>
        <w:t xml:space="preserve">VitalMetrics ist eine mobile App (Android &amp; iOS), die Menschen dabei unterstützt, ihre Versorgung mit Vitaminen, Mineralstoffen, Spurenelementen und Hormonen zu verstehen und gezielt zu verbessern.</w:t>
      </w:r>
    </w:p>
    <w:p>
      <w:pPr>
        <w:spacing w:after="0" w:before="120"/>
      </w:pPr>
      <w:r>
        <w:t xml:space="preserve"/>
      </w:r>
    </w:p>
    <w:p>
      <w:pPr>
        <w:spacing w:after="80" w:before="80"/>
      </w:pPr>
      <w:r>
        <w:rPr>
          <w:rFonts w:ascii="Arial" w:cs="Arial" w:eastAsia="Arial" w:hAnsi="Arial"/>
          <w:b/>
          <w:bCs/>
          <w:sz w:val="22"/>
          <w:szCs w:val="22"/>
        </w:rPr>
        <w:t xml:space="preserve">Die App verbindet drei Dinge, die bisher getrennt existierten:</w:t>
      </w:r>
    </w:p>
    <w:p>
      <w:pPr>
        <w:pStyle w:val="ListParagraph"/>
        <w:numPr>
          <w:ilvl w:val="0"/>
          <w:numId w:val="2"/>
        </w:numPr>
        <w:spacing w:after="60" w:before="60"/>
      </w:pPr>
      <w:r>
        <w:rPr>
          <w:rFonts w:ascii="Arial" w:cs="Arial" w:eastAsia="Arial" w:hAnsi="Arial"/>
          <w:sz w:val="22"/>
          <w:szCs w:val="22"/>
        </w:rPr>
        <w:t xml:space="preserve">Persönliche Messwerte (z.B. aus Bluttests) eintragen und verfolgen</w:t>
      </w:r>
    </w:p>
    <w:p>
      <w:pPr>
        <w:pStyle w:val="ListParagraph"/>
        <w:numPr>
          <w:ilvl w:val="0"/>
          <w:numId w:val="2"/>
        </w:numPr>
        <w:spacing w:after="60" w:before="60"/>
      </w:pPr>
      <w:r>
        <w:rPr>
          <w:rFonts w:ascii="Arial" w:cs="Arial" w:eastAsia="Arial" w:hAnsi="Arial"/>
          <w:sz w:val="22"/>
          <w:szCs w:val="22"/>
        </w:rPr>
        <w:t xml:space="preserve">Referenzwerte nach DGE / D-A-CH-Empfehlungen direkt im Blick behalten</w:t>
      </w:r>
    </w:p>
    <w:p>
      <w:pPr>
        <w:pStyle w:val="ListParagraph"/>
        <w:numPr>
          <w:ilvl w:val="0"/>
          <w:numId w:val="2"/>
        </w:numPr>
        <w:spacing w:after="60" w:before="60"/>
      </w:pPr>
      <w:r>
        <w:rPr>
          <w:rFonts w:ascii="Arial" w:cs="Arial" w:eastAsia="Arial" w:hAnsi="Arial"/>
          <w:sz w:val="22"/>
          <w:szCs w:val="22"/>
        </w:rPr>
        <w:t xml:space="preserve">Konkrete Ernährungsempfehlungen und Rezepte erhalten, die den individuellen Bedarf decken</w:t>
      </w:r>
    </w:p>
    <w:p>
      <w:pPr>
        <w:spacing w:after="0" w:before="120"/>
      </w:pPr>
      <w:r>
        <w:t xml:space="preserve"/>
      </w:r>
    </w:p>
    <w:p>
      <w:pPr>
        <w:spacing w:after="80" w:before="80"/>
      </w:pPr>
      <w:r>
        <w:rPr>
          <w:rFonts w:ascii="Arial" w:cs="Arial" w:eastAsia="Arial" w:hAnsi="Arial"/>
          <w:sz w:val="22"/>
          <w:szCs w:val="22"/>
        </w:rPr>
        <w:t xml:space="preserve">30 Biomarker sind bereits hinterlegt — von Vitamin D und B12 über Magnesium und Zink bis hin zu Ferritin und Cortisol. Die App gibt keine Diagnosen. Sie gibt Orientierung.</w:t>
      </w:r>
    </w:p>
    <w:p>
      <w:pPr>
        <w:spacing w:after="0" w:before="120"/>
      </w:pPr>
      <w:r>
        <w:t xml:space="preserve"/>
      </w:r>
    </w:p>
    <w:p>
      <w:pPr>
        <w:pBdr>
          <w:bottom w:val="single" w:color="006B6B" w:sz="6" w:space="1"/>
        </w:pBdr>
        <w:spacing w:after="120" w:before="120"/>
      </w:pPr>
      <w:r>
        <w:t xml:space="preserve"/>
      </w:r>
    </w:p>
    <w:p>
      <w:pPr>
        <w:pStyle w:val="Heading1"/>
        <w:spacing w:after="120" w:before="360"/>
      </w:pPr>
      <w:r>
        <w:rPr>
          <w:rFonts w:ascii="Arial" w:cs="Arial" w:eastAsia="Arial" w:hAnsi="Arial"/>
          <w:b/>
          <w:bCs/>
          <w:color w:val="1B3A5C"/>
          <w:sz w:val="28"/>
          <w:szCs w:val="28"/>
        </w:rPr>
        <w:t xml:space="preserve">Aktueller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B6B" w:sz="4"/>
              <w:left w:val="single" w:color="006B6B" w:sz="4"/>
              <w:bottom w:val="single" w:color="006B6B" w:sz="4"/>
              <w:right w:val="single" w:color="006B6B" w:sz="4"/>
            </w:tcBorders>
            <w:shd w:fill="EBF5F5" w:val="clear"/>
            <w:tcMar>
              <w:top w:type="dxa" w:w="100"/>
              <w:left w:type="dxa" w:w="160"/>
              <w:bottom w:type="dxa" w:w="100"/>
              <w:right w:type="dxa" w:w="160"/>
            </w:tcMar>
          </w:tcPr>
          <w:p>
            <w:pPr>
              <w:spacing w:after="60" w:before="60"/>
            </w:pPr>
            <w:r>
              <w:rPr>
                <w:rFonts w:ascii="Arial" w:cs="Arial" w:eastAsia="Arial" w:hAnsi="Arial"/>
                <w:color w:val="1B3A5C"/>
                <w:sz w:val="22"/>
                <w:szCs w:val="22"/>
              </w:rPr>
              <w:t xml:space="preserve">✓  Funktionsfähiger Prototyp online verfügbar (Android APK + Web-Demo)</w:t>
            </w:r>
          </w:p>
          <w:p>
            <w:pPr>
              <w:spacing w:after="60" w:before="60"/>
            </w:pPr>
            <w:r>
              <w:rPr>
                <w:rFonts w:ascii="Arial" w:cs="Arial" w:eastAsia="Arial" w:hAnsi="Arial"/>
                <w:color w:val="1B3A5C"/>
                <w:sz w:val="22"/>
                <w:szCs w:val="22"/>
              </w:rPr>
              <w:t xml:space="preserve">✓  30 Biomarker mit DGE-Referenzwerten, Lebensmittelquellen &amp; Rezepten</w:t>
            </w:r>
          </w:p>
          <w:p>
            <w:pPr>
              <w:spacing w:after="60" w:before="60"/>
            </w:pPr>
            <w:r>
              <w:rPr>
                <w:rFonts w:ascii="Arial" w:cs="Arial" w:eastAsia="Arial" w:hAnsi="Arial"/>
                <w:color w:val="1B3A5C"/>
                <w:sz w:val="22"/>
                <w:szCs w:val="22"/>
              </w:rPr>
              <w:t xml:space="preserve">✓  Freemium-Modell mit In-App-Kauf implementiert</w:t>
            </w:r>
          </w:p>
          <w:p>
            <w:pPr>
              <w:spacing w:after="60" w:before="60"/>
            </w:pPr>
            <w:r>
              <w:rPr>
                <w:rFonts w:ascii="Arial" w:cs="Arial" w:eastAsia="Arial" w:hAnsi="Arial"/>
                <w:color w:val="1B3A5C"/>
                <w:sz w:val="22"/>
                <w:szCs w:val="22"/>
              </w:rPr>
              <w:t xml:space="preserve">✓  DSGVO-konforme Datenhaltung (alle Daten lokal auf dem Gerät)</w:t>
            </w:r>
          </w:p>
          <w:p>
            <w:pPr>
              <w:spacing w:after="60" w:before="60"/>
            </w:pPr>
            <w:r>
              <w:rPr>
                <w:rFonts w:ascii="Arial" w:cs="Arial" w:eastAsia="Arial" w:hAnsi="Arial"/>
                <w:color w:val="1B3A5C"/>
                <w:sz w:val="22"/>
                <w:szCs w:val="22"/>
              </w:rPr>
              <w:t xml:space="preserve">✓  Erste Nutzer-Feedbacks gesammelt</w:t>
            </w:r>
          </w:p>
        </w:tc>
      </w:tr>
    </w:tbl>
    <w:p>
      <w:pPr>
        <w:spacing w:after="0" w:before="120"/>
      </w:pPr>
      <w:r>
        <w:t xml:space="preserve"/>
      </w:r>
    </w:p>
    <w:p>
      <w:pPr>
        <w:spacing w:after="80" w:before="80"/>
      </w:pPr>
      <w:r>
        <w:rPr>
          <w:rFonts w:ascii="Arial" w:cs="Arial" w:eastAsia="Arial" w:hAnsi="Arial"/>
          <w:sz w:val="22"/>
          <w:szCs w:val="22"/>
        </w:rPr>
        <w:t xml:space="preserve">Demo-Link:</w:t>
      </w:r>
    </w:p>
    <w:p>
      <w:pPr>
        <w:spacing w:after="80" w:before="60"/>
      </w:pPr>
      <w:hyperlink w:history="1" r:id="rIdpbmxqosrakx1go53_tojw">
        <w:r>
          <w:rPr>
            <w:rStyle w:val="Hyperlink"/>
            <w:rFonts w:ascii="Arial" w:cs="Arial" w:eastAsia="Arial" w:hAnsi="Arial"/>
            <w:color w:val="006B6B"/>
            <w:sz w:val="22"/>
            <w:szCs w:val="22"/>
          </w:rPr>
          <w:t xml:space="preserve">https://nicchar.github.io/vitalmetrics/VitalMetrics.html</w:t>
        </w:r>
      </w:hyperlink>
    </w:p>
    <w:p>
      <w:pPr>
        <w:spacing w:after="0" w:before="120"/>
      </w:pPr>
      <w:r>
        <w:t xml:space="preserve"/>
      </w:r>
    </w:p>
    <w:p>
      <w:pPr>
        <w:pBdr>
          <w:bottom w:val="single" w:color="006B6B" w:sz="6" w:space="1"/>
        </w:pBdr>
        <w:spacing w:after="120" w:before="120"/>
      </w:pPr>
      <w:r>
        <w:t xml:space="preserve"/>
      </w:r>
    </w:p>
    <w:p>
      <w:pPr>
        <w:pStyle w:val="Heading1"/>
        <w:spacing w:after="120" w:before="360"/>
      </w:pPr>
      <w:r>
        <w:rPr>
          <w:rFonts w:ascii="Arial" w:cs="Arial" w:eastAsia="Arial" w:hAnsi="Arial"/>
          <w:b/>
          <w:bCs/>
          <w:color w:val="1B3A5C"/>
          <w:sz w:val="28"/>
          <w:szCs w:val="28"/>
        </w:rPr>
        <w:t xml:space="preserve">Vision &amp; Skalierungspotenzial</w:t>
      </w:r>
    </w:p>
    <w:p>
      <w:pPr>
        <w:spacing w:after="80" w:before="80"/>
      </w:pPr>
      <w:r>
        <w:rPr>
          <w:rFonts w:ascii="Arial" w:cs="Arial" w:eastAsia="Arial" w:hAnsi="Arial"/>
          <w:sz w:val="22"/>
          <w:szCs w:val="22"/>
        </w:rPr>
        <w:t xml:space="preserve">VitalMetrics ist heute eine Selbst-Tracking-App. Die langfristige Vision ist größer: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Merkmal</w:t>
            </w:r>
          </w:p>
        </w:tc>
        <w:tc>
          <w:tcPr>
            <w:tcW w:type="dxa" w:w="5526"/>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Details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Kurzfristig</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2"/>
                <w:szCs w:val="22"/>
              </w:rPr>
              <w:t xml:space="preserve">B2C-App im Google Play Store &amp; Apple App Store; Freemium + Premium-Abonnement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2"/>
                <w:szCs w:val="22"/>
              </w:rPr>
              <w:t xml:space="preserve">Mittelfristig</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Anonymisierte Aggregatdaten für medizinische Forschung und Ernährungswissenschaft nutzbar machen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Langfristig</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2"/>
                <w:szCs w:val="22"/>
              </w:rPr>
              <w:t xml:space="preserve">B2B-Vertrieb an Krankenkassen, Betriebliche Gesundheitsförderung (BGF), Ernährungsberatung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2"/>
                <w:szCs w:val="22"/>
              </w:rPr>
              <w:t xml:space="preserve">Gesellschaftlich</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Präventionsförderung: Mangelzustände früher erkennen, Krankheitskosten senken</w:t>
            </w:r>
          </w:p>
        </w:tc>
      </w:tr>
    </w:tbl>
    <w:p>
      <w:pPr>
        <w:spacing w:after="0" w:before="120"/>
      </w:pPr>
      <w:r>
        <w:t xml:space="preserve"/>
      </w:r>
    </w:p>
    <w:p>
      <w:pPr>
        <w:spacing w:after="80" w:before="80"/>
      </w:pPr>
      <w:r>
        <w:rPr>
          <w:rFonts w:ascii="Arial" w:cs="Arial" w:eastAsia="Arial" w:hAnsi="Arial"/>
          <w:sz w:val="22"/>
          <w:szCs w:val="22"/>
        </w:rPr>
        <w:t xml:space="preserve">Besonders im Fokus: Die Kooperation mit Krankenkassen, die präventive Gesundheits-Apps aktiv suchen und fördern — ein wachsender Markt im Rahmen des Digitale-Versorgung-Gesetzes (DVG).</w:t>
      </w:r>
    </w:p>
    <w:p>
      <w:pPr>
        <w:spacing w:after="0" w:before="120"/>
      </w:pPr>
      <w:r>
        <w:t xml:space="preserve"/>
      </w:r>
    </w:p>
    <w:p>
      <w:pPr>
        <w:pBdr>
          <w:bottom w:val="single" w:color="006B6B" w:sz="6" w:space="1"/>
        </w:pBdr>
        <w:spacing w:after="120" w:before="120"/>
      </w:pPr>
      <w:r>
        <w:t xml:space="preserve"/>
      </w:r>
    </w:p>
    <w:p>
      <w:pPr>
        <w:pStyle w:val="Heading1"/>
        <w:spacing w:after="120" w:before="360"/>
      </w:pPr>
      <w:r>
        <w:rPr>
          <w:rFonts w:ascii="Arial" w:cs="Arial" w:eastAsia="Arial" w:hAnsi="Arial"/>
          <w:b/>
          <w:bCs/>
          <w:color w:val="1B3A5C"/>
          <w:sz w:val="28"/>
          <w:szCs w:val="28"/>
        </w:rPr>
        <w:t xml:space="preserve">Geschäftsmodell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Merkmal</w:t>
            </w:r>
          </w:p>
        </w:tc>
        <w:tc>
          <w:tcPr>
            <w:tcW w:type="dxa" w:w="5526"/>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Details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Freemium App</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2"/>
                <w:szCs w:val="22"/>
              </w:rPr>
              <w:t xml:space="preserve">4 Biomarker kostenlos; alle 30 mit Premium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2"/>
                <w:szCs w:val="22"/>
              </w:rPr>
              <w:t xml:space="preserve">Premium-Preise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2,45 €/Monat · 22,99 €/Jahr · 60 € Lifetime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Affiliate</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2"/>
                <w:szCs w:val="22"/>
              </w:rPr>
              <w:t xml:space="preserve">Supplement-Empfehlungen via Amazon PartnerNet (vitalmetrics-21)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2"/>
                <w:szCs w:val="22"/>
              </w:rPr>
              <w:t xml:space="preserve">B2B (geplant)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Lizenzierung an Krankenkassen, BGF-Anbieter, Kliniken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Datenprodukte (geplant)</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2"/>
                <w:szCs w:val="22"/>
              </w:rPr>
              <w:t xml:space="preserve">Anonymisierte Marktanalysen für Pharma &amp; Forschung</w:t>
            </w:r>
          </w:p>
        </w:tc>
      </w:tr>
    </w:tbl>
    <w:p>
      <w:pPr>
        <w:spacing w:after="0" w:before="120"/>
      </w:pPr>
      <w:r>
        <w:t xml:space="preserve"/>
      </w:r>
    </w:p>
    <w:p>
      <w:pPr>
        <w:pBdr>
          <w:bottom w:val="single" w:color="006B6B" w:sz="6" w:space="1"/>
        </w:pBdr>
        <w:spacing w:after="120" w:before="120"/>
      </w:pPr>
      <w:r>
        <w:t xml:space="preserve"/>
      </w:r>
    </w:p>
    <w:p>
      <w:pPr>
        <w:pStyle w:val="Heading1"/>
        <w:spacing w:after="120" w:before="360"/>
      </w:pPr>
      <w:r>
        <w:rPr>
          <w:rFonts w:ascii="Arial" w:cs="Arial" w:eastAsia="Arial" w:hAnsi="Arial"/>
          <w:b/>
          <w:bCs/>
          <w:color w:val="1B3A5C"/>
          <w:sz w:val="28"/>
          <w:szCs w:val="28"/>
        </w:rPr>
        <w:t xml:space="preserve">Warum GATEWAY49?</w:t>
      </w:r>
    </w:p>
    <w:p>
      <w:pPr>
        <w:spacing w:after="80" w:before="80"/>
      </w:pPr>
      <w:r>
        <w:rPr>
          <w:rFonts w:ascii="Arial" w:cs="Arial" w:eastAsia="Arial" w:hAnsi="Arial"/>
          <w:sz w:val="22"/>
          <w:szCs w:val="22"/>
        </w:rPr>
        <w:t xml:space="preserve">VitalMetrics liegt genau im Schnittfeld der GATEWAY49-Förderschwerpunkte: Medizintechnik und Lebensmittelbranche. Was ich als Einzelgründerin bisher alleine aufgebaut habe, zeigt das Potenzial — aber um dieses Potenzial voll auszuschöpfen, brauche ich:</w:t>
      </w:r>
    </w:p>
    <w:p>
      <w:pPr>
        <w:spacing w:after="0" w:before="120"/>
      </w:pPr>
      <w:r>
        <w:t xml:space="preserve"/>
      </w:r>
    </w:p>
    <w:p>
      <w:pPr>
        <w:pStyle w:val="ListParagraph"/>
        <w:numPr>
          <w:ilvl w:val="0"/>
          <w:numId w:val="2"/>
        </w:numPr>
        <w:spacing w:after="60" w:before="60"/>
      </w:pPr>
      <w:r>
        <w:rPr>
          <w:rFonts w:ascii="Arial" w:cs="Arial" w:eastAsia="Arial" w:hAnsi="Arial"/>
          <w:sz w:val="22"/>
          <w:szCs w:val="22"/>
        </w:rPr>
        <w:t xml:space="preserve">Strukturiertes Coaching zu Geschäftsmodell, Marktzugang und Regulatorik (DiGA, DVG)</w:t>
      </w:r>
    </w:p>
    <w:p>
      <w:pPr>
        <w:pStyle w:val="ListParagraph"/>
        <w:numPr>
          <w:ilvl w:val="0"/>
          <w:numId w:val="2"/>
        </w:numPr>
        <w:spacing w:after="60" w:before="60"/>
      </w:pPr>
      <w:r>
        <w:rPr>
          <w:rFonts w:ascii="Arial" w:cs="Arial" w:eastAsia="Arial" w:hAnsi="Arial"/>
          <w:sz w:val="22"/>
          <w:szCs w:val="22"/>
        </w:rPr>
        <w:t xml:space="preserve">Netzwerk zu Krankenkassen, Kliniken und medizinischen Partnern</w:t>
      </w:r>
    </w:p>
    <w:p>
      <w:pPr>
        <w:pStyle w:val="ListParagraph"/>
        <w:numPr>
          <w:ilvl w:val="0"/>
          <w:numId w:val="2"/>
        </w:numPr>
        <w:spacing w:after="60" w:before="60"/>
      </w:pPr>
      <w:r>
        <w:rPr>
          <w:rFonts w:ascii="Arial" w:cs="Arial" w:eastAsia="Arial" w:hAnsi="Arial"/>
          <w:sz w:val="22"/>
          <w:szCs w:val="22"/>
        </w:rPr>
        <w:t xml:space="preserve">Unterstützung beim Aufbau eines skalierbaren Tech-Backends (Server, API, Datenstrategie)</w:t>
      </w:r>
    </w:p>
    <w:p>
      <w:pPr>
        <w:pStyle w:val="ListParagraph"/>
        <w:numPr>
          <w:ilvl w:val="0"/>
          <w:numId w:val="2"/>
        </w:numPr>
        <w:spacing w:after="60" w:before="60"/>
      </w:pPr>
      <w:r>
        <w:rPr>
          <w:rFonts w:ascii="Arial" w:cs="Arial" w:eastAsia="Arial" w:hAnsi="Arial"/>
          <w:sz w:val="22"/>
          <w:szCs w:val="22"/>
        </w:rPr>
        <w:t xml:space="preserve">Zugang zu Fördermitteln für Marketing und Produktentwicklung</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B6B" w:sz="4"/>
              <w:left w:val="single" w:color="006B6B" w:sz="4"/>
              <w:bottom w:val="single" w:color="006B6B" w:sz="4"/>
              <w:right w:val="single" w:color="006B6B" w:sz="4"/>
            </w:tcBorders>
            <w:shd w:fill="EBF5F5" w:val="clear"/>
            <w:tcMar>
              <w:top w:type="dxa" w:w="100"/>
              <w:left w:type="dxa" w:w="160"/>
              <w:bottom w:type="dxa" w:w="100"/>
              <w:right w:type="dxa" w:w="160"/>
            </w:tcMar>
          </w:tcPr>
          <w:p>
            <w:pPr>
              <w:spacing w:after="60" w:before="60"/>
            </w:pPr>
            <w:r>
              <w:rPr>
                <w:rFonts w:ascii="Arial" w:cs="Arial" w:eastAsia="Arial" w:hAnsi="Arial"/>
                <w:color w:val="1B3A5C"/>
                <w:sz w:val="22"/>
                <w:szCs w:val="22"/>
              </w:rPr>
              <w:t xml:space="preserve">GATEWAY49 bietet genau das, was diese Idee jetzt braucht: Struktur, Netzwerk und Kapital —</w:t>
            </w:r>
          </w:p>
          <w:p>
            <w:pPr>
              <w:spacing w:after="60" w:before="60"/>
            </w:pPr>
            <w:r>
              <w:rPr>
                <w:rFonts w:ascii="Arial" w:cs="Arial" w:eastAsia="Arial" w:hAnsi="Arial"/>
                <w:color w:val="1B3A5C"/>
                <w:sz w:val="22"/>
                <w:szCs w:val="22"/>
              </w:rPr>
              <w:t xml:space="preserve">ohne Anteile abzugeben.</w:t>
            </w:r>
          </w:p>
        </w:tc>
      </w:tr>
    </w:tbl>
    <w:p>
      <w:pPr>
        <w:spacing w:after="0" w:before="120"/>
      </w:pPr>
      <w:r>
        <w:t xml:space="preserve"/>
      </w:r>
    </w:p>
    <w:p>
      <w:pPr>
        <w:pBdr>
          <w:bottom w:val="single" w:color="006B6B" w:sz="6" w:space="1"/>
        </w:pBdr>
        <w:spacing w:after="120" w:before="120"/>
      </w:pPr>
      <w:r>
        <w:t xml:space="preserve"/>
      </w:r>
    </w:p>
    <w:p>
      <w:pPr>
        <w:pStyle w:val="Heading1"/>
        <w:spacing w:after="120" w:before="360"/>
      </w:pPr>
      <w:r>
        <w:rPr>
          <w:rFonts w:ascii="Arial" w:cs="Arial" w:eastAsia="Arial" w:hAnsi="Arial"/>
          <w:b/>
          <w:bCs/>
          <w:color w:val="1B3A5C"/>
          <w:sz w:val="28"/>
          <w:szCs w:val="28"/>
        </w:rPr>
        <w:t xml:space="preserve">Über die Gründerin</w:t>
      </w:r>
    </w:p>
    <w:p>
      <w:pPr>
        <w:spacing w:after="80" w:before="80"/>
      </w:pPr>
      <w:r>
        <w:rPr>
          <w:rFonts w:ascii="Arial" w:cs="Arial" w:eastAsia="Arial" w:hAnsi="Arial"/>
          <w:sz w:val="22"/>
          <w:szCs w:val="22"/>
        </w:rPr>
        <w:t xml:space="preserve">Nicole Doehring, Lübeck</w:t>
      </w:r>
    </w:p>
    <w:p>
      <w:pPr>
        <w:spacing w:after="80" w:before="80"/>
      </w:pPr>
      <w:r>
        <w:rPr>
          <w:rFonts w:ascii="Arial" w:cs="Arial" w:eastAsia="Arial" w:hAnsi="Arial"/>
          <w:sz w:val="22"/>
          <w:szCs w:val="22"/>
        </w:rPr>
        <w:t xml:space="preserve">Hintergrund: IT, Digitalisierung und pragmatisches Problemlösen. VitalMetrics entstand aus einem persönlichen Bedürfnis: dem Wunsch, die eigene Gesundheit datenbasiert zu verstehen — ohne Arzttermin für jede Frage. Die gesamte App wurde eigenständig konzipiert und entwickelt.</w:t>
      </w:r>
    </w:p>
    <w:p>
      <w:pPr>
        <w:spacing w:after="0" w:before="120"/>
      </w:pPr>
      <w:r>
        <w:t xml:space="preserve"/>
      </w:r>
    </w:p>
    <w:p>
      <w:pPr>
        <w:spacing w:after="80" w:before="80"/>
      </w:pPr>
      <w:r>
        <w:rPr>
          <w:rFonts w:ascii="Arial" w:cs="Arial" w:eastAsia="Arial" w:hAnsi="Arial"/>
          <w:sz w:val="22"/>
          <w:szCs w:val="22"/>
        </w:rPr>
        <w:t xml:space="preserve">Kontakt: doehring.nicole@gmail.com</w:t>
      </w:r>
    </w:p>
    <w:p>
      <w:pPr>
        <w:spacing w:after="80" w:before="60"/>
      </w:pPr>
      <w:hyperlink w:history="1" r:id="rId8abyowh3ohf8noskus2ff">
        <w:r>
          <w:rPr>
            <w:rStyle w:val="Hyperlink"/>
            <w:rFonts w:ascii="Arial" w:cs="Arial" w:eastAsia="Arial" w:hAnsi="Arial"/>
            <w:color w:val="006B6B"/>
            <w:sz w:val="22"/>
            <w:szCs w:val="22"/>
          </w:rPr>
          <w:t xml:space="preserve">github.com/nicchar/vitalmetrics</w:t>
        </w:r>
      </w:hyperlink>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jc w:val="center"/>
    </w:pPr>
    <w:r>
      <w:rPr>
        <w:rFonts w:ascii="Arial" w:cs="Arial" w:eastAsia="Arial" w:hAnsi="Arial"/>
        <w:color w:val="888888"/>
        <w:sz w:val="16"/>
        <w:szCs w:val="16"/>
      </w:rPr>
      <w:t xml:space="preserve">Vertraulich — nur für GATEWAY49 | doehring.nicole@gmail.com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1"/>
      </w:pBdr>
      <w:spacing w:after="120"/>
      <w:jc w:val="right"/>
    </w:pPr>
    <w:r>
      <w:rPr>
        <w:rFonts w:ascii="Arial" w:cs="Arial" w:eastAsia="Arial" w:hAnsi="Arial"/>
        <w:color w:val="006B6B"/>
        <w:sz w:val="18"/>
        <w:szCs w:val="18"/>
      </w:rPr>
      <w:t xml:space="preserve">VitalMetrics — Executive Summary</w:t>
    </w:r>
    <w:r>
      <w:rPr>
        <w:rFonts w:ascii="Arial" w:cs="Arial" w:eastAsia="Arial" w:hAnsi="Arial"/>
        <w:color w:val="888888"/>
        <w:sz w:val="18"/>
        <w:szCs w:val="18"/>
      </w:rPr>
      <w:t xml:space="preserve">   |   Nicole Doehring   |   Juni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bmxqosrakx1go53_tojw" Type="http://schemas.openxmlformats.org/officeDocument/2006/relationships/hyperlink" Target="https://nicchar.github.io/vitalmetrics/VitalMetrics.html" TargetMode="External"/><Relationship Id="rId8abyowh3ohf8noskus2ff" Type="http://schemas.openxmlformats.org/officeDocument/2006/relationships/hyperlink" Target="https://github.com/nicchar/vitalmetric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2026-06-17T17:49:52.654Z</dcterms:created>
  <dcterms:modified xsi:type="dcterms:W3CDTF">2026-06-17T17:49:52.654Z</dcterms:modified>
</cp:coreProperties>
</file>

<file path=docProps/custom.xml><?xml version="1.0" encoding="utf-8"?>
<Properties xmlns="http://schemas.openxmlformats.org/officeDocument/2006/custom-properties" xmlns:vt="http://schemas.openxmlformats.org/officeDocument/2006/docPropsVTypes"/>
</file>