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B3A5C"/>
          <w:sz w:val="56"/>
          <w:szCs w:val="56"/>
        </w:rPr>
        <w:t xml:space="preserve">VitalMetrics</w:t>
      </w:r>
    </w:p>
    <w:p>
      <w:pPr>
        <w:spacing w:after="40" w:before="0"/>
      </w:pPr>
      <w:r>
        <w:rPr>
          <w:rFonts w:ascii="Arial" w:cs="Arial" w:eastAsia="Arial" w:hAnsi="Arial"/>
          <w:i/>
          <w:iCs/>
          <w:color w:val="006B6B"/>
          <w:sz w:val="24"/>
          <w:szCs w:val="24"/>
        </w:rPr>
        <w:t xml:space="preserve">Vom Laborwert zum Teller — personalisierte Prävention auf Knopfdruck.</w:t>
      </w:r>
    </w:p>
    <w:p>
      <w:pPr>
        <w:spacing w:after="200" w:before="0"/>
      </w:pPr>
      <w:r>
        <w:rPr>
          <w:rFonts w:ascii="Arial" w:cs="Arial" w:eastAsia="Arial" w:hAnsi="Arial"/>
          <w:color w:val="888888"/>
          <w:sz w:val="18"/>
          <w:szCs w:val="18"/>
        </w:rPr>
        <w:t xml:space="preserve">Executive Summary  ·  Startup-Pitch GATEWAY49 Lübeck  ·  Juni 2026</w:t>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1.  Das Problem: Zelluläre Mangelernährung im Überfluss</w:t>
      </w:r>
    </w:p>
    <w:p>
      <w:pPr>
        <w:spacing w:after="60" w:before="60"/>
      </w:pPr>
      <w:r>
        <w:rPr>
          <w:rFonts w:ascii="Arial" w:cs="Arial" w:eastAsia="Arial" w:hAnsi="Arial"/>
          <w:sz w:val="20"/>
          <w:szCs w:val="20"/>
        </w:rPr>
        <w:t xml:space="preserve">Deutschland gilt als wohlgenährtes Land — doch die Nationale Verzehrsstudie II (NVS II) des Max-Rubner-Instituts und die DEGS-Erhebungen des Robert Koch-Instituts zeichnen ein anderes Bild: Trotz kalorischem Überfluss herrscht auf zellulärer Ebene eine stille Epidemie an Mikronährstoffmängeln, die jahrelang unentdeckt bleibt und chronische Erkrankungen befeuert.</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006B6B" w:sz="4"/>
              <w:left w:val="single" w:color="006B6B" w:sz="4"/>
              <w:bottom w:val="single" w:color="006B6B" w:sz="4"/>
              <w:right w:val="single" w:color="006B6B" w:sz="4"/>
            </w:tcBorders>
            <w:shd w:fill="E8F4F4" w:val="clear"/>
            <w:tcMar>
              <w:top w:type="dxa" w:w="120"/>
              <w:left w:type="dxa" w:w="100"/>
              <w:bottom w:type="dxa" w:w="120"/>
              <w:right w:type="dxa" w:w="100"/>
            </w:tcMar>
          </w:tcPr>
          <w:p>
            <w:pPr>
              <w:jc w:val="center"/>
            </w:pPr>
            <w:r>
              <w:rPr>
                <w:rFonts w:ascii="Arial" w:cs="Arial" w:eastAsia="Arial" w:hAnsi="Arial"/>
                <w:b/>
                <w:bCs/>
                <w:color w:val="006B6B"/>
                <w:sz w:val="36"/>
                <w:szCs w:val="36"/>
              </w:rPr>
              <w:t xml:space="preserve">30,2 %</w:t>
            </w:r>
          </w:p>
          <w:p>
            <w:pPr>
              <w:jc w:val="center"/>
            </w:pPr>
            <w:r>
              <w:rPr>
                <w:rFonts w:ascii="Arial" w:cs="Arial" w:eastAsia="Arial" w:hAnsi="Arial"/>
                <w:color w:val="1B3A5C"/>
                <w:sz w:val="17"/>
                <w:szCs w:val="17"/>
              </w:rPr>
              <w:t xml:space="preserve">der Deutschen mit krit. Vitamin-D-Defizit (RKI/DEGS1)</w:t>
            </w:r>
          </w:p>
        </w:tc>
        <w:tc>
          <w:tcPr>
            <w:tcW w:type="dxa" w:w="3008"/>
            <w:tcBorders>
              <w:top w:val="single" w:color="006B6B" w:sz="4"/>
              <w:left w:val="single" w:color="006B6B" w:sz="4"/>
              <w:bottom w:val="single" w:color="006B6B" w:sz="4"/>
              <w:right w:val="single" w:color="006B6B" w:sz="4"/>
            </w:tcBorders>
            <w:shd w:fill="E8F4F4" w:val="clear"/>
            <w:tcMar>
              <w:top w:type="dxa" w:w="120"/>
              <w:left w:type="dxa" w:w="100"/>
              <w:bottom w:type="dxa" w:w="120"/>
              <w:right w:type="dxa" w:w="100"/>
            </w:tcMar>
          </w:tcPr>
          <w:p>
            <w:pPr>
              <w:jc w:val="center"/>
            </w:pPr>
            <w:r>
              <w:rPr>
                <w:rFonts w:ascii="Arial" w:cs="Arial" w:eastAsia="Arial" w:hAnsi="Arial"/>
                <w:b/>
                <w:bCs/>
                <w:color w:val="006B6B"/>
                <w:sz w:val="36"/>
                <w:szCs w:val="36"/>
              </w:rPr>
              <w:t xml:space="preserve">58 %</w:t>
            </w:r>
          </w:p>
          <w:p>
            <w:pPr>
              <w:jc w:val="center"/>
            </w:pPr>
            <w:r>
              <w:rPr>
                <w:rFonts w:ascii="Arial" w:cs="Arial" w:eastAsia="Arial" w:hAnsi="Arial"/>
                <w:color w:val="1B3A5C"/>
                <w:sz w:val="17"/>
                <w:szCs w:val="17"/>
              </w:rPr>
              <w:t xml:space="preserve">der Frauen erreichen die Eisen-Zufuhrempfehlung nicht (NVS II)</w:t>
            </w:r>
          </w:p>
        </w:tc>
        <w:tc>
          <w:tcPr>
            <w:tcW w:type="dxa" w:w="3010"/>
            <w:tcBorders>
              <w:top w:val="single" w:color="006B6B" w:sz="4"/>
              <w:left w:val="single" w:color="006B6B" w:sz="4"/>
              <w:bottom w:val="single" w:color="006B6B" w:sz="4"/>
              <w:right w:val="single" w:color="006B6B" w:sz="4"/>
            </w:tcBorders>
            <w:shd w:fill="E8F4F4" w:val="clear"/>
            <w:tcMar>
              <w:top w:type="dxa" w:w="120"/>
              <w:left w:type="dxa" w:w="100"/>
              <w:bottom w:type="dxa" w:w="120"/>
              <w:right w:type="dxa" w:w="100"/>
            </w:tcMar>
          </w:tcPr>
          <w:p>
            <w:pPr>
              <w:jc w:val="center"/>
            </w:pPr>
            <w:r>
              <w:rPr>
                <w:rFonts w:ascii="Arial" w:cs="Arial" w:eastAsia="Arial" w:hAnsi="Arial"/>
                <w:b/>
                <w:bCs/>
                <w:color w:val="006B6B"/>
                <w:sz w:val="36"/>
                <w:szCs w:val="36"/>
              </w:rPr>
              <w:t xml:space="preserve">86 %</w:t>
            </w:r>
          </w:p>
          <w:p>
            <w:pPr>
              <w:jc w:val="center"/>
            </w:pPr>
            <w:r>
              <w:rPr>
                <w:rFonts w:ascii="Arial" w:cs="Arial" w:eastAsia="Arial" w:hAnsi="Arial"/>
                <w:color w:val="1B3A5C"/>
                <w:sz w:val="17"/>
                <w:szCs w:val="17"/>
              </w:rPr>
              <w:t xml:space="preserve">der Frauen unterschreiten die Folsäure-Empfehlung (NVS II)</w:t>
            </w:r>
          </w:p>
        </w:tc>
      </w:tr>
    </w:tbl>
    <w:p>
      <w:pPr>
        <w:spacing w:after="0" w:before="100"/>
      </w:pPr>
      <w:r>
        <w:t xml:space="preserve"/>
      </w:r>
    </w:p>
    <w:p>
      <w:pPr>
        <w:spacing w:after="60" w:before="60"/>
      </w:pPr>
      <w:r>
        <w:rPr>
          <w:rFonts w:ascii="Arial" w:cs="Arial" w:eastAsia="Arial" w:hAnsi="Arial"/>
          <w:sz w:val="20"/>
          <w:szCs w:val="20"/>
        </w:rPr>
        <w:t xml:space="preserve">Das Paradoxon: Selbst wer seine Blutwerte kennt, scheitert an der Umsetzung im Alltag. Ein niedriger Zinkwert lässt sich rechnerisch kaum beheben, weil Phytinsäure in Hülsenfrüchten und Vollkorn die Zinkabsorption um bis zu 45 % hemmt — ein Detail, das keine herkömmliche Ernährungs-App erfasst. Für Selen, Jod und Vitamin K2 versagen Lebensmitteldatenbanken (BLS) vollständig: Der Selengehalt schwankt je nach Anbauland extrem, Jod hängt vom Jodsalz-Anteil der Hersteller ab (nur 29 % der Produkte in Deutschland), und K2 wird in Standardtabellen oft mit 0 deklariert.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B6B" w:sz="5"/>
              <w:left w:val="single" w:color="006B6B" w:sz="5"/>
              <w:bottom w:val="single" w:color="006B6B" w:sz="5"/>
              <w:right w:val="single" w:color="006B6B" w:sz="5"/>
            </w:tcBorders>
            <w:shd w:fill="E8F4F4" w:val="clear"/>
            <w:tcMar>
              <w:top w:type="dxa" w:w="120"/>
              <w:left w:type="dxa" w:w="180"/>
              <w:bottom w:type="dxa" w:w="120"/>
              <w:right w:type="dxa" w:w="180"/>
            </w:tcMar>
          </w:tcPr>
          <w:p>
            <w:pPr>
              <w:spacing w:after="50" w:before="50"/>
            </w:pPr>
            <w:r>
              <w:rPr>
                <w:rFonts w:ascii="Arial" w:cs="Arial" w:eastAsia="Arial" w:hAnsi="Arial"/>
                <w:b/>
                <w:bCs/>
                <w:color w:val="1B3A5C"/>
                <w:sz w:val="20"/>
                <w:szCs w:val="20"/>
              </w:rPr>
              <w:t xml:space="preserve">Fazit: Das rein rechnerische Ernährungstracking lügt. Wer Mängel wirklich verstehen und beheben will, braucht reale Laborwerte — und eine App, die diese in tägliche Handlungen übersetzt.</w:t>
            </w:r>
          </w:p>
        </w:tc>
      </w:tr>
    </w:tbl>
    <w:p>
      <w:pPr>
        <w:spacing w:after="0" w:before="120"/>
      </w:pPr>
      <w:r>
        <w:t xml:space="preserve"/>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2.  Die Lösung: VitalMetrics</w:t>
      </w:r>
    </w:p>
    <w:p>
      <w:pPr>
        <w:spacing w:after="60" w:before="60"/>
      </w:pPr>
      <w:r>
        <w:rPr>
          <w:rFonts w:ascii="Arial" w:cs="Arial" w:eastAsia="Arial" w:hAnsi="Arial"/>
          <w:sz w:val="20"/>
          <w:szCs w:val="20"/>
        </w:rPr>
        <w:t xml:space="preserve">VitalMetrics ist eine mobile App (Android &amp; iOS), die die entscheidende Lücke im Markt schließt: die Verbindung zwischen dem persönlichen Laborwert und der konkreten Mahlzeit auf dem Teller — auf Basis offizieller DGE-Referenzwerte (D-A-CH 2021/2024).</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1B3A5C" w:val="clear"/>
            <w:tcMar>
              <w:top w:type="dxa" w:w="90"/>
              <w:left w:type="dxa" w:w="140"/>
              <w:bottom w:type="dxa" w:w="90"/>
              <w:right w:type="dxa" w:w="140"/>
            </w:tcMar>
          </w:tcPr>
          <w:p>
            <w:r>
              <w:rPr>
                <w:rFonts w:ascii="Arial" w:cs="Arial" w:eastAsia="Arial" w:hAnsi="Arial"/>
                <w:b/>
                <w:bCs/>
                <w:color w:val="FFFFFF"/>
                <w:sz w:val="20"/>
                <w:szCs w:val="20"/>
              </w:rPr>
              <w:t xml:space="preserve">Funktion</w:t>
            </w:r>
          </w:p>
        </w:tc>
        <w:tc>
          <w:tcPr>
            <w:tcW w:type="dxa" w:w="5626"/>
            <w:tcBorders>
              <w:top w:val="single" w:color="CCCCCC" w:sz="1"/>
              <w:left w:val="single" w:color="CCCCCC" w:sz="1"/>
              <w:bottom w:val="single" w:color="CCCCCC" w:sz="1"/>
              <w:right w:val="single" w:color="CCCCCC" w:sz="1"/>
            </w:tcBorders>
            <w:shd w:fill="1B3A5C" w:val="clear"/>
            <w:tcMar>
              <w:top w:type="dxa" w:w="90"/>
              <w:left w:type="dxa" w:w="140"/>
              <w:bottom w:type="dxa" w:w="90"/>
              <w:right w:type="dxa" w:w="140"/>
            </w:tcMar>
          </w:tcPr>
          <w:p>
            <w:r>
              <w:rPr>
                <w:rFonts w:ascii="Arial" w:cs="Arial" w:eastAsia="Arial" w:hAnsi="Arial"/>
                <w:b/>
                <w:bCs/>
                <w:color w:val="FFFFFF"/>
                <w:sz w:val="20"/>
                <w:szCs w:val="20"/>
              </w:rPr>
              <w:t xml:space="preserve">Was die App leistet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5C"/>
                <w:sz w:val="20"/>
                <w:szCs w:val="20"/>
              </w:rPr>
              <w:t xml:space="preserve">30 Biomarker tracken</w:t>
            </w:r>
          </w:p>
        </w:tc>
        <w:tc>
          <w:tcPr>
            <w:tcW w:type="dxa" w:w="5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Vitamine, Mineralstoffe, Spurenelemente, Hormone — eigene Blutwerte eintragen und im Zeitverlauf verfolgen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20"/>
                <w:szCs w:val="20"/>
              </w:rPr>
              <w:t xml:space="preserve">DGE-Referenzabgleich</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Sofortiger Vergleich mit wissenschaftlichen Referenzwerten; Anzeige von Über- und Unterversorgung</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5C"/>
                <w:sz w:val="20"/>
                <w:szCs w:val="20"/>
              </w:rPr>
              <w:t xml:space="preserve">Lebensmittelempfehlungen</w:t>
            </w:r>
          </w:p>
        </w:tc>
        <w:tc>
          <w:tcPr>
            <w:tcW w:type="dxa" w:w="5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Gezielt auf den individuellen Mangel zugeschnittene Lebensmittelquellen und Rezepte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20"/>
                <w:szCs w:val="20"/>
              </w:rPr>
              <w:t xml:space="preserve">Bioverfügbarkeit berücksichtigen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Phytat-Hemmung, Kombinations-Tipps (z.B. Vitamin C + Eisen) — was andere Apps ignorieren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5C"/>
                <w:sz w:val="20"/>
                <w:szCs w:val="20"/>
              </w:rPr>
              <w:t xml:space="preserve">Datenschutz by Design</w:t>
            </w:r>
          </w:p>
        </w:tc>
        <w:tc>
          <w:tcPr>
            <w:tcW w:type="dxa" w:w="5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Alle Daten lokal auf dem Gerät — kein Server, kein Cloud-Upload, DSGVO-konform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20"/>
                <w:szCs w:val="20"/>
              </w:rPr>
              <w:t xml:space="preserve">Süßstoff-Tracking (geplant)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Erfassung von Zuckerersatzstoffen (E955, E968, E951) mit ADI-Wert-Warnsystem — ein einzigartiger USP</w:t>
            </w:r>
          </w:p>
        </w:tc>
      </w:tr>
    </w:tbl>
    <w:p>
      <w:pPr>
        <w:spacing w:after="0" w:before="120"/>
      </w:pPr>
      <w:r>
        <w:t xml:space="preserve"/>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3.  Wissenschaftliche Evidenz: Warum personalisiert wirkt</w:t>
      </w:r>
    </w:p>
    <w:p>
      <w:pPr>
        <w:spacing w:after="60" w:before="60"/>
      </w:pPr>
      <w:r>
        <w:rPr>
          <w:rFonts w:ascii="Arial" w:cs="Arial" w:eastAsia="Arial" w:hAnsi="Arial"/>
          <w:sz w:val="20"/>
          <w:szCs w:val="20"/>
        </w:rPr>
        <w:t xml:space="preserve">Die europäische Food4Me-Studie belegt: Teilnehmer mit personalisierter, biomarkergestützter Ernährungsberatung zeigten signifikant größere und nachhaltigere Verhaltensänderungen als Kontrollgruppen mit generischen Empfehlungen. In der BMC-Nutrition-Studie zu GenoPalate verzeichneten 57 % der Nutzer, die auf Basis persönlicher Daten handelten, messbare Gesundheitsverbesserungen. Kontinuierliches Feedback stärkt die Selbstwirksamkeit — genau das ist der Kern-Wirkungsmechanismus von VitalMetrics.</w:t>
      </w:r>
    </w:p>
    <w:p>
      <w:pPr>
        <w:spacing w:after="0" w:before="80"/>
      </w:pPr>
      <w:r>
        <w:t xml:space="preserve"/>
      </w:r>
    </w:p>
    <w:p>
      <w:pPr>
        <w:spacing w:after="60" w:before="60"/>
      </w:pPr>
      <w:r>
        <w:rPr>
          <w:rFonts w:ascii="Arial" w:cs="Arial" w:eastAsia="Arial" w:hAnsi="Arial"/>
          <w:sz w:val="20"/>
          <w:szCs w:val="20"/>
        </w:rPr>
        <w:t xml:space="preserve">Gleichzeitig versagt das GKV-System präventiv: Detaillierte Mikronährstoffprofile (Ferritin, Holo-Transcobalamin, HS-Omega-3-Index) werden nur bei manifester Erkrankung erstattet. Wer vorsorgen will, zahlt aus eigener Tasche — und ist dann mit dem Ergebnis allein. VitalMetrics gibt ihm das Werkzeug, diesen Befund eigenständig und täglich umzusetzen.</w:t>
      </w:r>
    </w:p>
    <w:p>
      <w:pPr>
        <w:spacing w:after="0" w:before="120"/>
      </w:pPr>
      <w:r>
        <w:t xml:space="preserve"/>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4.  Markt &amp; Wachstumspotenzial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006B6B" w:sz="4"/>
              <w:left w:val="single" w:color="006B6B" w:sz="4"/>
              <w:bottom w:val="single" w:color="006B6B" w:sz="4"/>
              <w:right w:val="single" w:color="006B6B" w:sz="4"/>
            </w:tcBorders>
            <w:shd w:fill="E8F4F4" w:val="clear"/>
            <w:tcMar>
              <w:top w:type="dxa" w:w="120"/>
              <w:left w:type="dxa" w:w="100"/>
              <w:bottom w:type="dxa" w:w="120"/>
              <w:right w:type="dxa" w:w="100"/>
            </w:tcMar>
          </w:tcPr>
          <w:p>
            <w:pPr>
              <w:jc w:val="center"/>
            </w:pPr>
            <w:r>
              <w:rPr>
                <w:rFonts w:ascii="Arial" w:cs="Arial" w:eastAsia="Arial" w:hAnsi="Arial"/>
                <w:b/>
                <w:bCs/>
                <w:color w:val="006B6B"/>
                <w:sz w:val="36"/>
                <w:szCs w:val="36"/>
              </w:rPr>
              <w:t xml:space="preserve">267 Mio. $</w:t>
            </w:r>
          </w:p>
          <w:p>
            <w:pPr>
              <w:jc w:val="center"/>
            </w:pPr>
            <w:r>
              <w:rPr>
                <w:rFonts w:ascii="Arial" w:cs="Arial" w:eastAsia="Arial" w:hAnsi="Arial"/>
                <w:color w:val="1B3A5C"/>
                <w:sz w:val="17"/>
                <w:szCs w:val="17"/>
              </w:rPr>
              <w:t xml:space="preserve">Diet &amp; Nutrition Apps Deutschland bis 2030 (CAGR 15,2 %)</w:t>
            </w:r>
          </w:p>
        </w:tc>
        <w:tc>
          <w:tcPr>
            <w:tcW w:type="dxa" w:w="3008"/>
            <w:tcBorders>
              <w:top w:val="single" w:color="006B6B" w:sz="4"/>
              <w:left w:val="single" w:color="006B6B" w:sz="4"/>
              <w:bottom w:val="single" w:color="006B6B" w:sz="4"/>
              <w:right w:val="single" w:color="006B6B" w:sz="4"/>
            </w:tcBorders>
            <w:shd w:fill="E8F4F4" w:val="clear"/>
            <w:tcMar>
              <w:top w:type="dxa" w:w="120"/>
              <w:left w:type="dxa" w:w="100"/>
              <w:bottom w:type="dxa" w:w="120"/>
              <w:right w:type="dxa" w:w="100"/>
            </w:tcMar>
          </w:tcPr>
          <w:p>
            <w:pPr>
              <w:jc w:val="center"/>
            </w:pPr>
            <w:r>
              <w:rPr>
                <w:rFonts w:ascii="Arial" w:cs="Arial" w:eastAsia="Arial" w:hAnsi="Arial"/>
                <w:b/>
                <w:bCs/>
                <w:color w:val="006B6B"/>
                <w:sz w:val="36"/>
                <w:szCs w:val="36"/>
              </w:rPr>
              <w:t xml:space="preserve">66,9 Mrd. $</w:t>
            </w:r>
          </w:p>
          <w:p>
            <w:pPr>
              <w:jc w:val="center"/>
            </w:pPr>
            <w:r>
              <w:rPr>
                <w:rFonts w:ascii="Arial" w:cs="Arial" w:eastAsia="Arial" w:hAnsi="Arial"/>
                <w:color w:val="1B3A5C"/>
                <w:sz w:val="17"/>
                <w:szCs w:val="17"/>
              </w:rPr>
              <w:t xml:space="preserve">Personalized Nutrition global bis 2034 (CAGR 18,1 %)</w:t>
            </w:r>
          </w:p>
        </w:tc>
        <w:tc>
          <w:tcPr>
            <w:tcW w:type="dxa" w:w="3010"/>
            <w:tcBorders>
              <w:top w:val="single" w:color="006B6B" w:sz="4"/>
              <w:left w:val="single" w:color="006B6B" w:sz="4"/>
              <w:bottom w:val="single" w:color="006B6B" w:sz="4"/>
              <w:right w:val="single" w:color="006B6B" w:sz="4"/>
            </w:tcBorders>
            <w:shd w:fill="E8F4F4" w:val="clear"/>
            <w:tcMar>
              <w:top w:type="dxa" w:w="120"/>
              <w:left w:type="dxa" w:w="100"/>
              <w:bottom w:type="dxa" w:w="120"/>
              <w:right w:type="dxa" w:w="100"/>
            </w:tcMar>
          </w:tcPr>
          <w:p>
            <w:pPr>
              <w:jc w:val="center"/>
            </w:pPr>
            <w:r>
              <w:rPr>
                <w:rFonts w:ascii="Arial" w:cs="Arial" w:eastAsia="Arial" w:hAnsi="Arial"/>
                <w:b/>
                <w:bCs/>
                <w:color w:val="006B6B"/>
                <w:sz w:val="36"/>
                <w:szCs w:val="36"/>
              </w:rPr>
              <w:t xml:space="preserve">3,75 Mio. €</w:t>
            </w:r>
          </w:p>
          <w:p>
            <w:pPr>
              <w:jc w:val="center"/>
            </w:pPr>
            <w:r>
              <w:rPr>
                <w:rFonts w:ascii="Arial" w:cs="Arial" w:eastAsia="Arial" w:hAnsi="Arial"/>
                <w:color w:val="1B3A5C"/>
                <w:sz w:val="17"/>
                <w:szCs w:val="17"/>
              </w:rPr>
              <w:t xml:space="preserve">Realistisches SOM nach 3 Jahren (50.000 Premium-Nutzer)</w:t>
            </w:r>
          </w:p>
        </w:tc>
      </w:tr>
    </w:tbl>
    <w:p>
      <w:pPr>
        <w:spacing w:after="0" w:before="100"/>
      </w:pPr>
      <w:r>
        <w:t xml:space="preserve"/>
      </w:r>
    </w:p>
    <w:p>
      <w:pPr>
        <w:spacing w:after="60" w:before="60"/>
      </w:pPr>
      <w:r>
        <w:rPr>
          <w:rFonts w:ascii="Arial" w:cs="Arial" w:eastAsia="Arial" w:hAnsi="Arial"/>
          <w:sz w:val="20"/>
          <w:szCs w:val="20"/>
        </w:rPr>
        <w:t xml:space="preserve">Deutschland ist der größte und am schnellsten wachsende Nutrition-App-Markt in Europa. Flankiert wird dieser Trend durch den Boom bei Functional Foods (23,8 → 41,4 Mrd. $ bis 2030, CAGR 8,2 %) — ein direkter B2B-Anknüpfungspunkt für VitalMetrics als Datenlieferant der Lebensmittelindustrie.</w:t>
      </w:r>
    </w:p>
    <w:p>
      <w:pPr>
        <w:spacing w:after="0" w:before="120"/>
      </w:pPr>
      <w:r>
        <w:t xml:space="preserve"/>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5.  Wettbewerbspositionierung</w:t>
      </w:r>
    </w:p>
    <w:p>
      <w:pPr>
        <w:spacing w:after="60" w:before="60"/>
      </w:pPr>
      <w:r>
        <w:rPr>
          <w:rFonts w:ascii="Arial" w:cs="Arial" w:eastAsia="Arial" w:hAnsi="Arial"/>
          <w:sz w:val="20"/>
          <w:szCs w:val="20"/>
        </w:rPr>
        <w:t xml:space="preserve">Der Markt ist fragmentiert — und genau darin liegt die Chance: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Anbieter</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Stärke</w:t>
            </w:r>
          </w:p>
        </w:tc>
        <w:tc>
          <w:tcPr>
            <w:tcW w:type="dxa" w:w="3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Blinder Fleck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3A5C"/>
                <w:sz w:val="18"/>
                <w:szCs w:val="18"/>
              </w:rPr>
              <w:t xml:space="preserve">Cronometer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95 Mikronährstoffe, Bioverfügbarkeit</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Keine Laborwert-Integration, keine DGE-Referenzwerte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3A5C"/>
                <w:sz w:val="18"/>
                <w:szCs w:val="18"/>
              </w:rPr>
              <w:t xml:space="preserve">MyFitnessPal</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Globale Reichweite, riesige Datenbank</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Nur Kalorien/Makros — Mikronährstoffe vernachlässigt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3A5C"/>
                <w:sz w:val="18"/>
                <w:szCs w:val="18"/>
              </w:rPr>
              <w:t xml:space="preserve">Lykon / Thriva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Unkomplizierte D2C-Bluttests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Snapshot ohne tägliches Tracking — Nutzer danach allein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3A5C"/>
                <w:sz w:val="18"/>
                <w:szCs w:val="18"/>
              </w:rPr>
              <w:t xml:space="preserve">Zoe</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CGM + Mikrobiom, hochpersonalisiert</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Sehr teuer, nischig, kein DGE-Fokus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3A5C"/>
                <w:sz w:val="18"/>
                <w:szCs w:val="18"/>
              </w:rPr>
              <w:t xml:space="preserve">DiGAs (Oviva etc.)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GKV-Erstattung, klinisch validiert</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Nur bei manifester Diagnose (BMI &gt;30 etc.)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3A5C"/>
                <w:sz w:val="18"/>
                <w:szCs w:val="18"/>
              </w:rPr>
              <w:t xml:space="preserve">VitalMetrics</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DGE-Laborwert-Alltag in einem System</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Holistische Synthese — diese Lücke ist unbesetzt</w:t>
            </w:r>
          </w:p>
        </w:tc>
      </w:tr>
    </w:tbl>
    <w:p>
      <w:pPr>
        <w:spacing w:after="0" w:before="80"/>
      </w:pPr>
      <w:r>
        <w:t xml:space="preserve"/>
      </w:r>
    </w:p>
    <w:p>
      <w:pPr>
        <w:spacing w:after="60" w:before="60"/>
      </w:pPr>
      <w:r>
        <w:rPr>
          <w:rFonts w:ascii="Arial" w:cs="Arial" w:eastAsia="Arial" w:hAnsi="Arial"/>
          <w:sz w:val="20"/>
          <w:szCs w:val="20"/>
        </w:rPr>
        <w:t xml:space="preserve">Kein Anbieter verbindet heute europäische Leitlinien (DGE) + individuelle Laborwerte + tägliche Lebensmittelempfehlungen in einem datenschutzkonformen Produkt. Das ist die Marktlücke von VitalMetrics.</w:t>
      </w:r>
    </w:p>
    <w:p>
      <w:pPr>
        <w:spacing w:after="0" w:before="120"/>
      </w:pPr>
      <w:r>
        <w:t xml:space="preserve"/>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6.  Geschäftsmodell &amp; Skalierungsstrategie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3A5C" w:val="clear"/>
            <w:tcMar>
              <w:top w:type="dxa" w:w="90"/>
              <w:left w:type="dxa" w:w="140"/>
              <w:bottom w:type="dxa" w:w="90"/>
              <w:right w:type="dxa" w:w="140"/>
            </w:tcMar>
          </w:tcPr>
          <w:p>
            <w:r>
              <w:rPr>
                <w:rFonts w:ascii="Arial" w:cs="Arial" w:eastAsia="Arial" w:hAnsi="Arial"/>
                <w:b/>
                <w:bCs/>
                <w:color w:val="FFFFFF"/>
                <w:sz w:val="20"/>
                <w:szCs w:val="20"/>
              </w:rPr>
              <w:t xml:space="preserve">Phase</w:t>
            </w:r>
          </w:p>
        </w:tc>
        <w:tc>
          <w:tcPr>
            <w:tcW w:type="dxa" w:w="6226"/>
            <w:tcBorders>
              <w:top w:val="single" w:color="CCCCCC" w:sz="1"/>
              <w:left w:val="single" w:color="CCCCCC" w:sz="1"/>
              <w:bottom w:val="single" w:color="CCCCCC" w:sz="1"/>
              <w:right w:val="single" w:color="CCCCCC" w:sz="1"/>
            </w:tcBorders>
            <w:shd w:fill="1B3A5C" w:val="clear"/>
            <w:tcMar>
              <w:top w:type="dxa" w:w="90"/>
              <w:left w:type="dxa" w:w="140"/>
              <w:bottom w:type="dxa" w:w="90"/>
              <w:right w:type="dxa" w:w="140"/>
            </w:tcMar>
          </w:tcPr>
          <w:p>
            <w:r>
              <w:rPr>
                <w:rFonts w:ascii="Arial" w:cs="Arial" w:eastAsia="Arial" w:hAnsi="Arial"/>
                <w:b/>
                <w:bCs/>
                <w:color w:val="FFFFFF"/>
                <w:sz w:val="20"/>
                <w:szCs w:val="20"/>
              </w:rPr>
              <w:t xml:space="preserve">Einnahmequelle &amp; Strategie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5C"/>
                <w:sz w:val="20"/>
                <w:szCs w:val="20"/>
              </w:rPr>
              <w:t xml:space="preserve">Sofort (B2C)</w:t>
            </w:r>
          </w:p>
        </w:tc>
        <w:tc>
          <w:tcPr>
            <w:tcW w:type="dxa" w:w="6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Freemium: 4 Biomarker kostenlos, alle 30 mit Premium (2,45 €/Monat · 22,99 €/Jahr · 60 € Lifetime) + Amazon Affiliate (Supplements, Schnelltests)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20"/>
                <w:szCs w:val="20"/>
              </w:rPr>
              <w:t xml:space="preserve">Kurzfristig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ZPP-Zertifizierung nach § 20 SGB V (Leitfaden Prävention Kap. 7) → Krankenkassen erstatten ca. 150 € pro Nutzer ohne DiGA-Aufwand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5C"/>
                <w:sz w:val="20"/>
                <w:szCs w:val="20"/>
              </w:rPr>
              <w:t xml:space="preserve">Mittelfristig (B2B)</w:t>
            </w:r>
          </w:p>
        </w:tc>
        <w:tc>
          <w:tcPr>
            <w:tcW w:type="dxa" w:w="6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Lizenzierung an Krankenkassen, BGF-Anbieter und Kliniken als strukturiertes Präventionsprogramm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20"/>
                <w:szCs w:val="20"/>
              </w:rPr>
              <w:t xml:space="preserve">Langfristig (Data)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Anonymisierte Längsschnittdaten für Ernährungsforschung + datengestützte Produktentwicklung für Functional-Food-Hersteller</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5"/>
              <w:left w:val="single" w:color="D97706" w:sz="5"/>
              <w:bottom w:val="single" w:color="D97706" w:sz="5"/>
              <w:right w:val="single" w:color="D97706" w:sz="5"/>
            </w:tcBorders>
            <w:shd w:fill="FEF3E2" w:val="clear"/>
            <w:tcMar>
              <w:top w:type="dxa" w:w="120"/>
              <w:left w:type="dxa" w:w="180"/>
              <w:bottom w:type="dxa" w:w="120"/>
              <w:right w:type="dxa" w:w="180"/>
            </w:tcMar>
          </w:tcPr>
          <w:p>
            <w:pPr>
              <w:spacing w:after="50" w:before="50"/>
            </w:pPr>
            <w:r>
              <w:rPr>
                <w:rFonts w:ascii="Arial" w:cs="Arial" w:eastAsia="Arial" w:hAnsi="Arial"/>
                <w:b w:val="false"/>
                <w:bCs w:val="false"/>
                <w:color w:val="1B3A5C"/>
                <w:sz w:val="20"/>
                <w:szCs w:val="20"/>
              </w:rPr>
              <w:t xml:space="preserve">Regulatorischer Hebel: VitalMetrics bleibt bewusst unter der EU-MDR-Schwelle für Medizinprodukte (MDCG 2019-11). Die Architektur ist modular — medizinische Features können später isoliert zertifiziert werden, ohne das gesamte Produkt zu regulieren.</w:t>
            </w:r>
          </w:p>
        </w:tc>
      </w:tr>
    </w:tbl>
    <w:p>
      <w:pPr>
        <w:spacing w:after="0" w:before="120"/>
      </w:pPr>
      <w:r>
        <w:t xml:space="preserve"/>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7.  Aktueller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B6B" w:sz="5"/>
              <w:left w:val="single" w:color="006B6B" w:sz="5"/>
              <w:bottom w:val="single" w:color="006B6B" w:sz="5"/>
              <w:right w:val="single" w:color="006B6B" w:sz="5"/>
            </w:tcBorders>
            <w:shd w:fill="E8F4F4" w:val="clear"/>
            <w:tcMar>
              <w:top w:type="dxa" w:w="120"/>
              <w:left w:type="dxa" w:w="180"/>
              <w:bottom w:type="dxa" w:w="120"/>
              <w:right w:type="dxa" w:w="180"/>
            </w:tcMar>
          </w:tcPr>
          <w:p>
            <w:pPr>
              <w:spacing w:after="50" w:before="50"/>
            </w:pPr>
            <w:r>
              <w:rPr>
                <w:rFonts w:ascii="Arial" w:cs="Arial" w:eastAsia="Arial" w:hAnsi="Arial"/>
                <w:b w:val="false"/>
                <w:bCs w:val="false"/>
                <w:color w:val="1B3A5C"/>
                <w:sz w:val="20"/>
                <w:szCs w:val="20"/>
              </w:rPr>
              <w:t xml:space="preserve">✓  Funktionsfähiger Prototyp (Android APK + Web-Demo) — online abrufbar</w:t>
            </w:r>
          </w:p>
          <w:p>
            <w:pPr>
              <w:spacing w:after="50" w:before="50"/>
            </w:pPr>
            <w:r>
              <w:rPr>
                <w:rFonts w:ascii="Arial" w:cs="Arial" w:eastAsia="Arial" w:hAnsi="Arial"/>
                <w:b w:val="false"/>
                <w:bCs w:val="false"/>
                <w:color w:val="1B3A5C"/>
                <w:sz w:val="20"/>
                <w:szCs w:val="20"/>
              </w:rPr>
              <w:t xml:space="preserve">✓  30 Biomarker mit DGE-Referenzwerten, Lebensmittelquellen &amp; Rezepten</w:t>
            </w:r>
          </w:p>
          <w:p>
            <w:pPr>
              <w:spacing w:after="50" w:before="50"/>
            </w:pPr>
            <w:r>
              <w:rPr>
                <w:rFonts w:ascii="Arial" w:cs="Arial" w:eastAsia="Arial" w:hAnsi="Arial"/>
                <w:b w:val="false"/>
                <w:bCs w:val="false"/>
                <w:color w:val="1B3A5C"/>
                <w:sz w:val="20"/>
                <w:szCs w:val="20"/>
              </w:rPr>
              <w:t xml:space="preserve">✓  Freemium-Modell mit In-App-Kauf implementiert</w:t>
            </w:r>
          </w:p>
          <w:p>
            <w:pPr>
              <w:spacing w:after="50" w:before="50"/>
            </w:pPr>
            <w:r>
              <w:rPr>
                <w:rFonts w:ascii="Arial" w:cs="Arial" w:eastAsia="Arial" w:hAnsi="Arial"/>
                <w:b w:val="false"/>
                <w:bCs w:val="false"/>
                <w:color w:val="1B3A5C"/>
                <w:sz w:val="20"/>
                <w:szCs w:val="20"/>
              </w:rPr>
              <w:t xml:space="preserve">✓  DSGVO-konforme lokale Datenspeicherung (kein Server)</w:t>
            </w:r>
          </w:p>
          <w:p>
            <w:pPr>
              <w:spacing w:after="50" w:before="50"/>
            </w:pPr>
            <w:r>
              <w:rPr>
                <w:rFonts w:ascii="Arial" w:cs="Arial" w:eastAsia="Arial" w:hAnsi="Arial"/>
                <w:b w:val="false"/>
                <w:bCs w:val="false"/>
                <w:color w:val="1B3A5C"/>
                <w:sz w:val="20"/>
                <w:szCs w:val="20"/>
              </w:rPr>
              <w:t xml:space="preserve">✓  Erste Nutzerfeedbacks gesammelt</w:t>
            </w:r>
          </w:p>
        </w:tc>
      </w:tr>
    </w:tbl>
    <w:p>
      <w:pPr>
        <w:spacing w:after="0" w:before="80"/>
      </w:pPr>
      <w:r>
        <w:t xml:space="preserve"/>
      </w:r>
    </w:p>
    <w:p>
      <w:pPr>
        <w:spacing w:after="80" w:before="60"/>
      </w:pPr>
      <w:r>
        <w:rPr>
          <w:rFonts w:ascii="Arial" w:cs="Arial" w:eastAsia="Arial" w:hAnsi="Arial"/>
          <w:b/>
          <w:bCs/>
          <w:sz w:val="20"/>
          <w:szCs w:val="20"/>
        </w:rPr>
        <w:t xml:space="preserve">Demo: </w:t>
      </w:r>
      <w:hyperlink w:history="1" r:id="rId45pzre257_ci6617bzpyc">
        <w:r>
          <w:rPr>
            <w:rStyle w:val="Hyperlink"/>
            <w:rFonts w:ascii="Arial" w:cs="Arial" w:eastAsia="Arial" w:hAnsi="Arial"/>
            <w:color w:val="006B6B"/>
            <w:sz w:val="20"/>
            <w:szCs w:val="20"/>
          </w:rPr>
          <w:t xml:space="preserve">nicchar.github.io/vitalmetrics/VitalMetrics.html</w:t>
        </w:r>
      </w:hyperlink>
    </w:p>
    <w:p>
      <w:pPr>
        <w:spacing w:after="0" w:before="120"/>
      </w:pPr>
      <w:r>
        <w:t xml:space="preserve"/>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8.  Warum GATEWAY49?</w:t>
      </w:r>
    </w:p>
    <w:p>
      <w:pPr>
        <w:spacing w:after="60" w:before="60"/>
      </w:pPr>
      <w:r>
        <w:rPr>
          <w:rFonts w:ascii="Arial" w:cs="Arial" w:eastAsia="Arial" w:hAnsi="Arial"/>
          <w:sz w:val="20"/>
          <w:szCs w:val="20"/>
        </w:rPr>
        <w:t xml:space="preserve">VitalMetrics liegt exakt im Schnittfeld der GATEWAY49-Förderschwerpunkte Medizintechnik und Lebensmittelbranche — und ist das, was GATEWAY49 fördert: eine Idee in der frühen Phase mit echtem Potenzial, die strukturierte Unterstützung braucht, um zu skalieren.</w:t>
      </w:r>
    </w:p>
    <w:p>
      <w:pPr>
        <w:spacing w:after="0" w:before="80"/>
      </w:pPr>
      <w:r>
        <w:t xml:space="preserve"/>
      </w:r>
    </w:p>
    <w:p>
      <w:pPr>
        <w:pStyle w:val="ListParagraph"/>
        <w:numPr>
          <w:ilvl w:val="0"/>
          <w:numId w:val="2"/>
        </w:numPr>
        <w:spacing w:after="50" w:before="50"/>
      </w:pPr>
      <w:r>
        <w:rPr>
          <w:rFonts w:ascii="Arial" w:cs="Arial" w:eastAsia="Arial" w:hAnsi="Arial"/>
          <w:b w:val="false"/>
          <w:bCs w:val="false"/>
          <w:sz w:val="20"/>
          <w:szCs w:val="20"/>
        </w:rPr>
        <w:t xml:space="preserve">Coaching zu Marktzugang, Regulatorik (ZPP, DiGA, MDR) und Geschäftsmodell</w:t>
      </w:r>
    </w:p>
    <w:p>
      <w:pPr>
        <w:pStyle w:val="ListParagraph"/>
        <w:numPr>
          <w:ilvl w:val="0"/>
          <w:numId w:val="2"/>
        </w:numPr>
        <w:spacing w:after="50" w:before="50"/>
      </w:pPr>
      <w:r>
        <w:rPr>
          <w:rFonts w:ascii="Arial" w:cs="Arial" w:eastAsia="Arial" w:hAnsi="Arial"/>
          <w:b w:val="false"/>
          <w:bCs w:val="false"/>
          <w:sz w:val="20"/>
          <w:szCs w:val="20"/>
        </w:rPr>
        <w:t xml:space="preserve">Netzwerk zu Krankenkassen, Lebensmittelherstellern und medizinischen Partnern in Schleswig-Holstein</w:t>
      </w:r>
    </w:p>
    <w:p>
      <w:pPr>
        <w:pStyle w:val="ListParagraph"/>
        <w:numPr>
          <w:ilvl w:val="0"/>
          <w:numId w:val="2"/>
        </w:numPr>
        <w:spacing w:after="50" w:before="50"/>
      </w:pPr>
      <w:r>
        <w:rPr>
          <w:rFonts w:ascii="Arial" w:cs="Arial" w:eastAsia="Arial" w:hAnsi="Arial"/>
          <w:b w:val="false"/>
          <w:bCs w:val="false"/>
          <w:sz w:val="20"/>
          <w:szCs w:val="20"/>
        </w:rPr>
        <w:t xml:space="preserve">Unterstützung beim Aufbau eines skalierbaren Tech-Backends (API, Datenarchitektur, EHDS-Konformität)</w:t>
      </w:r>
    </w:p>
    <w:p>
      <w:pPr>
        <w:pStyle w:val="ListParagraph"/>
        <w:numPr>
          <w:ilvl w:val="0"/>
          <w:numId w:val="2"/>
        </w:numPr>
        <w:spacing w:after="50" w:before="50"/>
      </w:pPr>
      <w:r>
        <w:rPr>
          <w:rFonts w:ascii="Arial" w:cs="Arial" w:eastAsia="Arial" w:hAnsi="Arial"/>
          <w:b w:val="false"/>
          <w:bCs w:val="false"/>
          <w:sz w:val="20"/>
          <w:szCs w:val="20"/>
        </w:rPr>
        <w:t xml:space="preserve">Fördermittel für Nutzerstudie (Pflichtnachweis für ZPP-Zertifizierung nach § 20 SGB V)</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B6B" w:sz="5"/>
              <w:left w:val="single" w:color="006B6B" w:sz="5"/>
              <w:bottom w:val="single" w:color="006B6B" w:sz="5"/>
              <w:right w:val="single" w:color="006B6B" w:sz="5"/>
            </w:tcBorders>
            <w:shd w:fill="E8F4F4" w:val="clear"/>
            <w:tcMar>
              <w:top w:type="dxa" w:w="120"/>
              <w:left w:type="dxa" w:w="180"/>
              <w:bottom w:type="dxa" w:w="120"/>
              <w:right w:type="dxa" w:w="180"/>
            </w:tcMar>
          </w:tcPr>
          <w:p>
            <w:pPr>
              <w:spacing w:after="50" w:before="50"/>
            </w:pPr>
            <w:r>
              <w:rPr>
                <w:rFonts w:ascii="Arial" w:cs="Arial" w:eastAsia="Arial" w:hAnsi="Arial"/>
                <w:b/>
                <w:bCs/>
                <w:color w:val="1B3A5C"/>
                <w:sz w:val="20"/>
                <w:szCs w:val="20"/>
              </w:rPr>
              <w:t xml:space="preserve">GATEWAY49 behält keine Anteile — und genau das passt: VitalMetrics soll langfristig unabhängig und regional verankert bleiben.</w:t>
            </w:r>
          </w:p>
        </w:tc>
      </w:tr>
    </w:tbl>
    <w:p>
      <w:pPr>
        <w:spacing w:after="0" w:before="120"/>
      </w:pPr>
      <w:r>
        <w:t xml:space="preserve"/>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9.  Über die Gründerin</w:t>
      </w:r>
    </w:p>
    <w:p>
      <w:pPr>
        <w:spacing w:after="60" w:before="60"/>
      </w:pPr>
      <w:r>
        <w:rPr>
          <w:rFonts w:ascii="Arial" w:cs="Arial" w:eastAsia="Arial" w:hAnsi="Arial"/>
          <w:sz w:val="20"/>
          <w:szCs w:val="20"/>
        </w:rPr>
        <w:t xml:space="preserve">Nicole Doehring · Lübeck · doehring.nicole@gmail.com</w:t>
      </w:r>
    </w:p>
    <w:p>
      <w:pPr>
        <w:spacing w:after="0" w:before="80"/>
      </w:pPr>
      <w:r>
        <w:t xml:space="preserve"/>
      </w:r>
    </w:p>
    <w:p>
      <w:pPr>
        <w:spacing w:after="60" w:before="60"/>
      </w:pPr>
      <w:r>
        <w:rPr>
          <w:rFonts w:ascii="Arial" w:cs="Arial" w:eastAsia="Arial" w:hAnsi="Arial"/>
          <w:sz w:val="20"/>
          <w:szCs w:val="20"/>
        </w:rPr>
        <w:t xml:space="preserve">Hintergrund in IT und Digitalisierung. VitalMetrics entstand aus einem persönlichen Bedürfnis: dem Wunsch, die eigene Gesundheit datenbasiert zu verstehen — ohne für jede Frage einen Arzttermin zu benötigen. Konzept, Design und technische Umsetzung der App wurden eigenständig entwickelt.</w:t>
      </w:r>
    </w:p>
    <w:p>
      <w:pPr>
        <w:spacing w:after="0" w:before="80"/>
      </w:pPr>
      <w:r>
        <w:t xml:space="preserve"/>
      </w:r>
    </w:p>
    <w:p>
      <w:pPr>
        <w:spacing w:after="60" w:before="60"/>
      </w:pPr>
      <w:r>
        <w:rPr>
          <w:rFonts w:ascii="Arial" w:cs="Arial" w:eastAsia="Arial" w:hAnsi="Arial"/>
          <w:b/>
          <w:bCs/>
          <w:sz w:val="20"/>
          <w:szCs w:val="20"/>
        </w:rPr>
        <w:t xml:space="preserve">GitHub: </w:t>
      </w:r>
      <w:hyperlink w:history="1" r:id="rId7ijqdh1udbwdyqrmnqezn">
        <w:r>
          <w:rPr>
            <w:rStyle w:val="Hyperlink"/>
            <w:rFonts w:ascii="Arial" w:cs="Arial" w:eastAsia="Arial" w:hAnsi="Arial"/>
            <w:color w:val="006B6B"/>
            <w:sz w:val="20"/>
            <w:szCs w:val="20"/>
          </w:rPr>
          <w:t xml:space="preserve">github.com/nicchar/vitalmetrics</w:t>
        </w:r>
      </w:hyperlink>
    </w:p>
    <w:p>
      <w:pPr>
        <w:spacing w:after="0" w:before="120"/>
      </w:pPr>
      <w:r>
        <w:t xml:space="preserve"/>
      </w:r>
    </w:p>
    <w:p>
      <w:pPr>
        <w:pBdr>
          <w:bottom w:val="single" w:color="006B6B" w:sz="6" w:space="1"/>
        </w:pBdr>
        <w:spacing w:after="100" w:before="100"/>
      </w:pPr>
      <w:r>
        <w:t xml:space="preserve"/>
      </w:r>
    </w:p>
    <w:p>
      <w:pPr>
        <w:pStyle w:val="Heading1"/>
        <w:spacing w:after="100" w:before="320"/>
      </w:pPr>
      <w:r>
        <w:rPr>
          <w:rFonts w:ascii="Arial" w:cs="Arial" w:eastAsia="Arial" w:hAnsi="Arial"/>
          <w:b/>
          <w:bCs/>
          <w:color w:val="1B3A5C"/>
          <w:sz w:val="26"/>
          <w:szCs w:val="26"/>
        </w:rPr>
        <w:t xml:space="preserve">10.  Die 8 Kernbotschaften auf einen 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CCCCCC" w:sz="1"/>
              <w:left w:val="single" w:color="CCCCCC" w:sz="1"/>
              <w:bottom w:val="single" w:color="CCCCCC" w:sz="1"/>
              <w:right w:val="single" w:color="CCCCCC" w:sz="1"/>
            </w:tcBorders>
            <w:shd w:fill="006B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1</w:t>
            </w:r>
          </w:p>
        </w:tc>
        <w:tc>
          <w:tcPr>
            <w:tcW w:type="dxa" w:w="832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19"/>
                <w:szCs w:val="19"/>
              </w:rPr>
              <w:t xml:space="preserve">Massives Problem mit Daten belegt: 30,2 % Vitamin-D-Defizit, 58 % Frauen mit Eisenmangel, 86 % Frauen ohne ausreichend Folsäure (RKI/NVS II).</w:t>
            </w:r>
          </w:p>
        </w:tc>
      </w:tr>
      <w:tr>
        <w:tc>
          <w:tcPr>
            <w:tcW w:type="dxa" w:w="700"/>
            <w:tcBorders>
              <w:top w:val="single" w:color="CCCCCC" w:sz="1"/>
              <w:left w:val="single" w:color="CCCCCC" w:sz="1"/>
              <w:bottom w:val="single" w:color="CCCCCC" w:sz="1"/>
              <w:right w:val="single" w:color="CCCCCC" w:sz="1"/>
            </w:tcBorders>
            <w:shd w:fill="006B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2</w:t>
            </w:r>
          </w:p>
        </w:tc>
        <w:tc>
          <w:tcPr>
            <w:tcW w:type="dxa" w:w="8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Die Translation Gap ist das Geschäftsmodell: Laborwert kennen ≠ Mangel beheben. VitalMetrics übersetzt Blutbefunde automatisch in tägliche, DGE-validierte Mahlzeit-Empfehlungen.</w:t>
            </w:r>
          </w:p>
        </w:tc>
      </w:tr>
      <w:tr>
        <w:tc>
          <w:tcPr>
            <w:tcW w:type="dxa" w:w="700"/>
            <w:tcBorders>
              <w:top w:val="single" w:color="CCCCCC" w:sz="1"/>
              <w:left w:val="single" w:color="CCCCCC" w:sz="1"/>
              <w:bottom w:val="single" w:color="CCCCCC" w:sz="1"/>
              <w:right w:val="single" w:color="CCCCCC" w:sz="1"/>
            </w:tcBorders>
            <w:shd w:fill="006B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3</w:t>
            </w:r>
          </w:p>
        </w:tc>
        <w:tc>
          <w:tcPr>
            <w:tcW w:type="dxa" w:w="832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19"/>
                <w:szCs w:val="19"/>
              </w:rPr>
              <w:t xml:space="preserve">Einzigartiger Zukunfts-USP: Erstes Tracking-System für Zuckerersatzstoffe (Sucralose, Erythrit, Aspartam) — basierend auf aktueller Forschung zu Thromboserisiko und Hirnaktivität.</w:t>
            </w:r>
          </w:p>
        </w:tc>
      </w:tr>
      <w:tr>
        <w:tc>
          <w:tcPr>
            <w:tcW w:type="dxa" w:w="700"/>
            <w:tcBorders>
              <w:top w:val="single" w:color="CCCCCC" w:sz="1"/>
              <w:left w:val="single" w:color="CCCCCC" w:sz="1"/>
              <w:bottom w:val="single" w:color="CCCCCC" w:sz="1"/>
              <w:right w:val="single" w:color="CCCCCC" w:sz="1"/>
            </w:tcBorders>
            <w:shd w:fill="006B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4</w:t>
            </w:r>
          </w:p>
        </w:tc>
        <w:tc>
          <w:tcPr>
            <w:tcW w:type="dxa" w:w="8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Boomender Markt: 267 Mio. $ Marktvolumen für Nutrition-Apps in Deutschland bis 2030, CAGR 15,2 %.</w:t>
            </w:r>
          </w:p>
        </w:tc>
      </w:tr>
      <w:tr>
        <w:tc>
          <w:tcPr>
            <w:tcW w:type="dxa" w:w="700"/>
            <w:tcBorders>
              <w:top w:val="single" w:color="CCCCCC" w:sz="1"/>
              <w:left w:val="single" w:color="CCCCCC" w:sz="1"/>
              <w:bottom w:val="single" w:color="CCCCCC" w:sz="1"/>
              <w:right w:val="single" w:color="CCCCCC" w:sz="1"/>
            </w:tcBorders>
            <w:shd w:fill="006B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5</w:t>
            </w:r>
          </w:p>
        </w:tc>
        <w:tc>
          <w:tcPr>
            <w:tcW w:type="dxa" w:w="832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19"/>
                <w:szCs w:val="19"/>
              </w:rPr>
              <w:t xml:space="preserve">Marktlücke unbesetzt: Kein Wettbewerber verbindet DGE-Referenzwerte + Laborwerte + tägliche Empfehlungen + lokale Datenspeicherung in einem Produkt.</w:t>
            </w:r>
          </w:p>
        </w:tc>
      </w:tr>
      <w:tr>
        <w:tc>
          <w:tcPr>
            <w:tcW w:type="dxa" w:w="700"/>
            <w:tcBorders>
              <w:top w:val="single" w:color="CCCCCC" w:sz="1"/>
              <w:left w:val="single" w:color="CCCCCC" w:sz="1"/>
              <w:bottom w:val="single" w:color="CCCCCC" w:sz="1"/>
              <w:right w:val="single" w:color="CCCCCC" w:sz="1"/>
            </w:tcBorders>
            <w:shd w:fill="006B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6</w:t>
            </w:r>
          </w:p>
        </w:tc>
        <w:tc>
          <w:tcPr>
            <w:tcW w:type="dxa" w:w="8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Smartes Regulatorik-Management: Bewusst unter der EU-MDR-Schwelle, ZPP-Zertifizierung (§ 20 SGB V) als schnellster Erstattungsweg — ca. 150 € pro Nutzer von der Krankenkasse.</w:t>
            </w:r>
          </w:p>
        </w:tc>
      </w:tr>
      <w:tr>
        <w:tc>
          <w:tcPr>
            <w:tcW w:type="dxa" w:w="700"/>
            <w:tcBorders>
              <w:top w:val="single" w:color="CCCCCC" w:sz="1"/>
              <w:left w:val="single" w:color="CCCCCC" w:sz="1"/>
              <w:bottom w:val="single" w:color="CCCCCC" w:sz="1"/>
              <w:right w:val="single" w:color="CCCCCC" w:sz="1"/>
            </w:tcBorders>
            <w:shd w:fill="006B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7</w:t>
            </w:r>
          </w:p>
        </w:tc>
        <w:tc>
          <w:tcPr>
            <w:tcW w:type="dxa" w:w="832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19"/>
                <w:szCs w:val="19"/>
              </w:rPr>
              <w:t xml:space="preserve">B2B-Potenzial für Schleswig-Holstein: Aggregierte Versorgungsdaten als Grundlage für regionale Lebensmittelhersteller zur Entwicklung gezielter Functional Foods.</w:t>
            </w:r>
          </w:p>
        </w:tc>
      </w:tr>
      <w:tr>
        <w:tc>
          <w:tcPr>
            <w:tcW w:type="dxa" w:w="700"/>
            <w:tcBorders>
              <w:top w:val="single" w:color="CCCCCC" w:sz="1"/>
              <w:left w:val="single" w:color="CCCCCC" w:sz="1"/>
              <w:bottom w:val="single" w:color="CCCCCC" w:sz="1"/>
              <w:right w:val="single" w:color="CCCCCC" w:sz="1"/>
            </w:tcBorders>
            <w:shd w:fill="006B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8</w:t>
            </w:r>
          </w:p>
        </w:tc>
        <w:tc>
          <w:tcPr>
            <w:tcW w:type="dxa" w:w="8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Datenschutz als Wettbewerbsvorteil: Local-First-Architektur schafft das Vertrauen, das Cloud-basierte US-Anbieter in Deutschland nicht aufbauen können.</w:t>
            </w:r>
          </w:p>
        </w:tc>
      </w:tr>
    </w:tbl>
    <w:p>
      <w:pPr>
        <w:spacing w:after="0" w:before="160"/>
      </w:pPr>
      <w:r>
        <w:t xml:space="preserve"/>
      </w:r>
    </w:p>
    <w:p>
      <w:pPr>
        <w:jc w:val="center"/>
      </w:pPr>
      <w:r>
        <w:rPr>
          <w:rFonts w:ascii="Arial" w:cs="Arial" w:eastAsia="Arial" w:hAnsi="Arial"/>
          <w:i/>
          <w:iCs/>
          <w:color w:val="999999"/>
          <w:sz w:val="16"/>
          <w:szCs w:val="16"/>
        </w:rPr>
        <w:t xml:space="preserve">— Dieses Dokument wurde auf Basis wissenschaftlicher Quellen (NVS II, DEGS1, Food4Me, MDCG 2019-11, Statista/GVR Marktdaten 2025) erstellt —</w:t>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Arial" w:cs="Arial" w:eastAsia="Arial" w:hAnsi="Arial"/>
        <w:color w:val="999999"/>
        <w:sz w:val="15"/>
        <w:szCs w:val="15"/>
      </w:rPr>
      <w:t xml:space="preserve">Vertraulich · nur für GATEWAY49 Lübeck · doehring.nicole@gmail.com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1"/>
      </w:pBdr>
      <w:spacing w:after="100"/>
      <w:jc w:val="right"/>
    </w:pPr>
    <w:r>
      <w:rPr>
        <w:rFonts w:ascii="Arial" w:cs="Arial" w:eastAsia="Arial" w:hAnsi="Arial"/>
        <w:color w:val="006B6B"/>
        <w:sz w:val="17"/>
        <w:szCs w:val="17"/>
      </w:rPr>
      <w:t xml:space="preserve">VitalMetrics — Executive Summary</w:t>
    </w:r>
    <w:r>
      <w:rPr>
        <w:rFonts w:ascii="Arial" w:cs="Arial" w:eastAsia="Arial" w:hAnsi="Arial"/>
        <w:color w:val="999999"/>
        <w:sz w:val="17"/>
        <w:szCs w:val="17"/>
      </w:rPr>
      <w:t xml:space="preserve">   ·   Nicole Doehring   ·   Juni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5pzre257_ci6617bzpyc" Type="http://schemas.openxmlformats.org/officeDocument/2006/relationships/hyperlink" Target="https://nicchar.github.io/vitalmetrics/VitalMetrics.html" TargetMode="External"/><Relationship Id="rId7ijqdh1udbwdyqrmnqezn" Type="http://schemas.openxmlformats.org/officeDocument/2006/relationships/hyperlink" Target="https://github.com/nicchar/vitalmetric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2026-06-17T19:16:35.855Z</dcterms:created>
  <dcterms:modified xsi:type="dcterms:W3CDTF">2026-06-17T19:16:35.856Z</dcterms:modified>
</cp:coreProperties>
</file>

<file path=docProps/custom.xml><?xml version="1.0" encoding="utf-8"?>
<Properties xmlns="http://schemas.openxmlformats.org/officeDocument/2006/custom-properties" xmlns:vt="http://schemas.openxmlformats.org/officeDocument/2006/docPropsVTypes"/>
</file>