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a7a6e"/>
          <w:sz w:val="36"/>
          <w:szCs w:val="36"/>
        </w:rPr>
        <w:t xml:space="preserve">VitalMetrics – Experten-Review Runde 2</w:t>
      </w:r>
    </w:p>
    <w:p>
      <w:pPr>
        <w:spacing w:after="40"/>
      </w:pPr>
      <w:r>
        <w:rPr>
          <w:color w:val="555555"/>
          <w:sz w:val="24"/>
          <w:szCs w:val="24"/>
        </w:rPr>
        <w:t xml:space="preserve">Mediziner &amp; Ernährungsberater: Inhaltliche Prüfung, Feature-Vollständigkeit, Daily-Use-Frage</w:t>
      </w:r>
    </w:p>
    <w:p>
      <w:pPr>
        <w:spacing w:after="300"/>
      </w:pPr>
      <w:r>
        <w:rPr>
          <w:i/>
          <w:iCs/>
          <w:color w:val="777777"/>
          <w:sz w:val="20"/>
          <w:szCs w:val="20"/>
        </w:rPr>
        <w:t xml:space="preserve">Für Nicole Döhring · Stand: 21.07.2026 · Grundlage: aktueller Code-Stand app/src nach Portierung Bewegung/Zyklus/Ernährung/Tools-Hub/PDF-Export und Paywall-Umbau</w:t>
      </w:r>
    </w:p>
    <w:p>
      <w:pPr>
        <w:spacing w:after="140"/>
      </w:pPr>
      <w:r>
        <w:t xml:space="preserve">Diese Runde beantwortet drei Fragen: Stimmen die medizinischen und ernährungswissenschaftlichen Inhalte der App? Fehlt aus fachlicher Sicht etwas, das eine App dieser Art haben sollte? Und ist die App aktuell so aufgebaut, dass Nutzerinnen sie täglich öffnen würden? Die Antworten stützen sich auf eine vollständige Durchsicht des Biomarker-Katalogs (44 Werte), aller neu portierten Features (Bewegung, Zyklus, Ernährung/BLS 4.0, Fasten, Blutzucker, Heißhunger) sowie eine aktuelle Prüfung gegen die DGE-Referenzwerte, 3. Auflage (September 2025).</w:t>
      </w:r>
    </w:p>
    <w:p>
      <w:pPr>
        <w:pBdr>
          <w:bottom w:val="single" w:color="CCCCCC" w:sz="6" w:space="4"/>
        </w:pBdr>
        <w:spacing w:after="200"/>
      </w:pPr>
    </w:p>
    <w:p>
      <w:pPr>
        <w:pStyle w:val="Heading1"/>
        <w:spacing w:after="160" w:before="320"/>
      </w:pPr>
      <w:r>
        <w:t xml:space="preserve">1. Zentraler Befund: Zufuhr-Referenzwert vs. Laborwert</w:t>
      </w:r>
    </w:p>
    <w:p>
      <w:pPr>
        <w:spacing w:after="140"/>
      </w:pPr>
      <w:r>
        <w:t xml:space="preserve">Der wichtigste Fund betrifft fast den gesamten Vitamin- und Mineralstoff-Teil des Katalogs (13 Vitamine, die meisten Spurenelemente): Die hinterlegten Referenzbereiche sind DGE-Zufuhrempfehlungen (wie viel man täglich über Nahrung oder Supplement aufnehmen sollte), werden in der App aber in einem Feld verwendet, das wie ein Bluttest-Ergebnis wirkt ("Wert eintragen", Referenzbereich, Status-Ampel, Home-Test-Kit-Verlinkung).</w:t>
      </w:r>
    </w:p>
    <w:p>
      <w:pPr>
        <w:spacing w:after="100"/>
      </w:pPr>
      <w:r>
        <w:rPr>
          <w:b/>
          <w:bCs/>
        </w:rPr>
        <w:t xml:space="preserve">Konkretes Beispiel Vitamin D:</w:t>
      </w:r>
    </w:p>
    <w:p>
      <w:pPr>
        <w:pStyle w:val="ListParagraph"/>
        <w:numPr>
          <w:ilvl w:val="0"/>
          <w:numId w:val="1"/>
        </w:numPr>
        <w:spacing w:after="80"/>
      </w:pPr>
      <w:r>
        <w:t xml:space="preserve">App-Referenzbereich: 20–50 µg.</w:t>
      </w:r>
    </w:p>
    <w:p>
      <w:pPr>
        <w:pStyle w:val="ListParagraph"/>
        <w:numPr>
          <w:ilvl w:val="0"/>
          <w:numId w:val="1"/>
        </w:numPr>
        <w:spacing w:after="80"/>
      </w:pPr>
      <w:r>
        <w:t xml:space="preserve">DGE-Quelle (dge.de, Stand 2012, weiterhin gültig): 20 µg/Tag ist der Zufuhr-Schätzwert bei fehlender körpereigener Bildung – keine Laborgröße.</w:t>
      </w:r>
    </w:p>
    <w:p>
      <w:pPr>
        <w:pStyle w:val="ListParagraph"/>
        <w:numPr>
          <w:ilvl w:val="0"/>
          <w:numId w:val="1"/>
        </w:numPr>
        <w:spacing w:after="80"/>
      </w:pPr>
      <w:r>
        <w:t xml:space="preserve">Ein echter Bluttest berichtet die 25(OH)-Vitamin-D-Serumkonzentration in nmol/L oder ng/mL (Zielwert laut DGE ≥ 50 nmol/L) – eine völlig andere Skala und Einheit.</w:t>
      </w:r>
    </w:p>
    <w:p>
      <w:pPr>
        <w:pStyle w:val="ListParagraph"/>
        <w:numPr>
          <w:ilvl w:val="0"/>
          <w:numId w:val="1"/>
        </w:numPr>
        <w:spacing w:after="80"/>
      </w:pPr>
      <w:r>
        <w:t xml:space="preserve">Trägt eine Nutzerin ihren echten Laborwert ein (z. B. "68", gemeint als ng/mL), interpretiert die App das als "weit über dem Zufuhr-Referenzbereich" – eine sinnlose Einordnung.</w:t>
      </w:r>
    </w:p>
    <w:p>
      <w:pPr>
        <w:spacing w:after="140"/>
      </w:pPr>
      <w:r>
        <w:t xml:space="preserve">Nicht betroffen, weil bereits korrekt als echte Laborwerte angelegt: Ferritin, Homocystein, TSH, Omega-3-Index, hsCRP, HbA1c, Glukose, Cortisol, Testosteron sowie alle Darm- und Kognitions-Marker – dort stimmen Einheiten und Bereiche mit echten Bluttests überein.</w:t>
      </w:r>
    </w:p>
    <w:p>
      <w:pPr>
        <w:spacing w:after="100"/>
      </w:pPr>
      <w:r>
        <w:rPr>
          <w:b/>
          <w:bCs/>
        </w:rPr>
        <w:t xml:space="preserve">Zwei Lösungswege:</w:t>
      </w:r>
    </w:p>
    <w:p>
      <w:pPr>
        <w:pStyle w:val="ListParagraph"/>
        <w:numPr>
          <w:ilvl w:val="0"/>
          <w:numId w:val="1"/>
        </w:numPr>
        <w:spacing w:after="80"/>
      </w:pPr>
      <w:r>
        <w:t xml:space="preserve">Option A – Reframing: Die betroffenen Vitamine/Mineralstoffe konsequent als tägliches Zufuhr-Tracking behandeln (wie im Ernährungstagebuch bereits korrekt umgesetzt), nicht als "trag deinen Laborwert ein".</w:t>
      </w:r>
    </w:p>
    <w:p>
      <w:pPr>
        <w:pStyle w:val="ListParagraph"/>
        <w:numPr>
          <w:ilvl w:val="0"/>
          <w:numId w:val="1"/>
        </w:numPr>
        <w:spacing w:after="80"/>
      </w:pPr>
      <w:r>
        <w:t xml:space="preserve">Option B – echte Laborbereiche ergänzen: Für jeden betroffenen Nährstoff zusätzlich echte Serum-Referenzbereiche recherchieren und als zweites Feld anbieten.</w:t>
      </w:r>
    </w:p>
    <w:p>
      <w:pPr>
        <w:spacing w:after="140"/>
      </w:pPr>
      <w:r>
        <w:rPr>
          <w:b/>
          <w:bCs/>
        </w:rPr>
        <w:t xml:space="preserve">Empfehlung beider Experten: Option A. Sie behebt gleichzeitig die inhaltliche Verwechslung und einen wesentlichen Teil des Daily-Use-Problems aus Abschnitt 4 – und erzeugt keine zusätzliche medizinische Haftung durch neu recherchierte Laborschwellenwerte.</w:t>
      </w:r>
    </w:p>
    <w:p>
      <w:pPr>
        <w:pBdr>
          <w:bottom w:val="single" w:color="CCCCCC" w:sz="6" w:space="4"/>
        </w:pBdr>
        <w:spacing w:after="200"/>
      </w:pPr>
    </w:p>
    <w:p>
      <w:pPr>
        <w:pStyle w:val="Heading1"/>
        <w:spacing w:after="160" w:before="320"/>
      </w:pPr>
      <w:r>
        <w:t xml:space="preserve">2. Mediziner-Perspektive</w:t>
      </w:r>
    </w:p>
    <w:p>
      <w:pPr>
        <w:pStyle w:val="Heading2"/>
        <w:spacing w:after="120" w:before="240"/>
      </w:pPr>
      <w:r>
        <w:t xml:space="preserve">2.1 Inhaltliche Richtigkeit</w:t>
      </w:r>
    </w:p>
    <w:p>
      <w:pPr>
        <w:pStyle w:val="ListParagraph"/>
        <w:numPr>
          <w:ilvl w:val="0"/>
          <w:numId w:val="1"/>
        </w:numPr>
        <w:spacing w:after="80"/>
      </w:pPr>
      <w:r>
        <w:t xml:space="preserve">Zufuhr-/Laborwert-Konflation (siehe Abschnitt 1) – der mit Abstand wichtigste Punkt.</w:t>
      </w:r>
    </w:p>
    <w:p>
      <w:pPr>
        <w:pStyle w:val="ListParagraph"/>
        <w:numPr>
          <w:ilvl w:val="0"/>
          <w:numId w:val="1"/>
        </w:numPr>
        <w:spacing w:after="80"/>
      </w:pPr>
      <w:r>
        <w:t xml:space="preserve">Melatonin und Berberin stehen als Supplement-Empfehlungen in der Amazon-Box, ohne an einen trackbaren Marker gekoppelt zu sein – medizinisch nicht sauber verankert, da kein gemessener Wert die Empfehlung auslöst. Zusätzlich ist Melatonin in Deutschland ab 1 mg verschreibungspflichtig und Berberin wechselwirkt mit Diabetes- und Blutdruckmedikamenten. Das deckt sich mit dem bereits offenen Aktionsplan-Punkt "Melatonin-/Berberin-Einträge rechtlich prüfen" – sollte vor Aktivierung der Amazon-Box zwingend geklärt sein.</w:t>
      </w:r>
    </w:p>
    <w:p>
      <w:pPr>
        <w:pStyle w:val="ListParagraph"/>
        <w:numPr>
          <w:ilvl w:val="0"/>
          <w:numId w:val="1"/>
        </w:numPr>
        <w:spacing w:after="80"/>
      </w:pPr>
      <w:r>
        <w:t xml:space="preserve">Neue BfR-Stellungnahme (3. September 2025): Hochdosierte Vitamin-D-Einzelgaben in größeren Zeitabständen bergen Gesundheitsrisiken. Sollte als Warnhinweis bei Vitamin D ergänzt werden – gerade weil die App direkt einen Supplement-Kaufanreiz setzt.</w:t>
      </w:r>
    </w:p>
    <w:p>
      <w:pPr>
        <w:pStyle w:val="ListParagraph"/>
        <w:numPr>
          <w:ilvl w:val="0"/>
          <w:numId w:val="1"/>
        </w:numPr>
        <w:spacing w:after="80"/>
      </w:pPr>
      <w:r>
        <w:t xml:space="preserve">Calcium fehlt komplett als trackbarer Biomarker, obwohl das Datenfeld in der BLS-4.0-Datenbank längst vorhanden ist. Calcium ist einer der in der Praxis am häufigsten unterversorgten Mineralstoffe bei Frauen (Osteoporose-Prävention) – klare Lücke.</w:t>
      </w:r>
    </w:p>
    <w:p>
      <w:pPr>
        <w:pStyle w:val="ListParagraph"/>
        <w:numPr>
          <w:ilvl w:val="0"/>
          <w:numId w:val="1"/>
        </w:numPr>
        <w:spacing w:after="80"/>
      </w:pPr>
      <w:r>
        <w:t xml:space="preserve">TSH ist korrekt als Screening-Wert mit Hinweis auf ergänzende fT3-/fT4-Diagnostik gekennzeichnet – vorbildlich umgesetzt.</w:t>
      </w:r>
    </w:p>
    <w:p>
      <w:pPr>
        <w:pStyle w:val="ListParagraph"/>
        <w:numPr>
          <w:ilvl w:val="0"/>
          <w:numId w:val="1"/>
        </w:numPr>
        <w:spacing w:after="80"/>
      </w:pPr>
      <w:r>
        <w:t xml:space="preserve">Die übrigen Referenzbereiche (Ferritin, Homocystein, HbA1c, Glukose, hsCRP) decken sich mit gängigen Labornormwerten.</w:t>
      </w:r>
    </w:p>
    <w:p>
      <w:pPr>
        <w:pStyle w:val="Heading2"/>
        <w:spacing w:after="120" w:before="240"/>
      </w:pPr>
      <w:r>
        <w:t xml:space="preserve">2.2 Fehlende Features aus Mediziner-Sicht</w:t>
      </w:r>
    </w:p>
    <w:p>
      <w:pPr>
        <w:pStyle w:val="ListParagraph"/>
        <w:numPr>
          <w:ilvl w:val="0"/>
          <w:numId w:val="1"/>
        </w:numPr>
        <w:spacing w:after="80"/>
      </w:pPr>
      <w:r>
        <w:t xml:space="preserve">Das Diagnosen-Feld bleibt ungenutzt (bereits in Runde 1 als größte ungenutzte Chance benannt, seither unverändert): Es sollte echte Wechselwirkungshinweise auslösen, z. B. Blutverdünner × Vitamin K – der Hinweis existiert heute nur als Tipp-Text, ist aber nicht strukturell mit einer hinterlegten Diagnose verknüpft.</w:t>
      </w:r>
    </w:p>
    <w:p>
      <w:pPr>
        <w:pStyle w:val="ListParagraph"/>
        <w:numPr>
          <w:ilvl w:val="0"/>
          <w:numId w:val="1"/>
        </w:numPr>
        <w:spacing w:after="80"/>
      </w:pPr>
      <w:r>
        <w:t xml:space="preserve">Kein aktiver Hinweis bei kritischen Werten (z. B. HbA1c ≥ 6,5 %, hsCRP &gt; 3, stark abweichender Wert) – aktuell rein passive Farbanzeige ohne "sprich mit deiner Ärztin/deinem Arzt"-Impuls.</w:t>
      </w:r>
    </w:p>
    <w:p>
      <w:pPr>
        <w:pStyle w:val="ListParagraph"/>
        <w:numPr>
          <w:ilvl w:val="0"/>
          <w:numId w:val="1"/>
        </w:numPr>
        <w:spacing w:after="80"/>
      </w:pPr>
      <w:r>
        <w:t xml:space="preserve">Kein Feld für aktuell eingenommene Medikamente oder Nahrungsergänzungsmittel – das fragt jede Ärztin/jeder Arzt als Erstes, und es wäre die Grundlage für echte Wechselwirkungswarnungen.</w:t>
      </w:r>
    </w:p>
    <w:p>
      <w:pPr>
        <w:pStyle w:val="ListParagraph"/>
        <w:numPr>
          <w:ilvl w:val="0"/>
          <w:numId w:val="1"/>
        </w:numPr>
        <w:spacing w:after="80"/>
      </w:pPr>
      <w:r>
        <w:t xml:space="preserve">Kein Referenzpunkt-Vergleich "wie war der Wert beim letzten Arztbesuch" mit Datumsanker, über das reine Verlaufsdiagramm hinaus.</w:t>
      </w:r>
    </w:p>
    <w:p>
      <w:pPr>
        <w:pStyle w:val="ListParagraph"/>
        <w:numPr>
          <w:ilvl w:val="0"/>
          <w:numId w:val="1"/>
        </w:numPr>
        <w:spacing w:after="80"/>
      </w:pPr>
      <w:r>
        <w:rPr>
          <w:i/>
          <w:iCs/>
        </w:rPr>
        <w:t xml:space="preserve">Positiv: Der neue PDF-Bericht deckt den häufigsten Patientenwunsch – "etwas zum Mitnehmen für den Arztbesuch" – bereits ab. Das ist ein echter Pluspunkt und sollte im Marketing sichtbar gemacht werden.</w:t>
      </w:r>
    </w:p>
    <w:p>
      <w:pPr>
        <w:pStyle w:val="Heading2"/>
        <w:spacing w:after="120" w:before="240"/>
      </w:pPr>
      <w:r>
        <w:t xml:space="preserve">2.3 Was Patienten sich wünschen</w:t>
      </w:r>
    </w:p>
    <w:p>
      <w:pPr>
        <w:pStyle w:val="ListParagraph"/>
        <w:numPr>
          <w:ilvl w:val="0"/>
          <w:numId w:val="1"/>
        </w:numPr>
        <w:spacing w:after="80"/>
      </w:pPr>
      <w:r>
        <w:t xml:space="preserve">Eine ruhige, verständliche Erklärung "was bedeutet mein Wert für mich" statt reiner Zahlen – ist über die Tipp-Texte teilweise vorhanden, aber nicht bei jedem Wert gleich stark ausgebaut.</w:t>
      </w:r>
    </w:p>
    <w:p>
      <w:pPr>
        <w:pStyle w:val="ListParagraph"/>
        <w:numPr>
          <w:ilvl w:val="0"/>
          <w:numId w:val="1"/>
        </w:numPr>
        <w:spacing w:after="80"/>
      </w:pPr>
      <w:r>
        <w:t xml:space="preserve">Erinnerung an fällige Kontrolltests (z. B. "dein letzter Ferritin-Wert liegt 6 Monate zurück").</w:t>
      </w:r>
    </w:p>
    <w:p>
      <w:pPr>
        <w:pStyle w:val="ListParagraph"/>
        <w:numPr>
          <w:ilvl w:val="0"/>
          <w:numId w:val="1"/>
        </w:numPr>
        <w:spacing w:after="80"/>
      </w:pPr>
      <w:r>
        <w:t xml:space="preserve">Möglichkeit, den Bericht direkt mit der Praxis zu teilen – mit dem PDF-Export jetzt technisch gelöst.</w:t>
      </w:r>
    </w:p>
    <w:p>
      <w:pPr>
        <w:pBdr>
          <w:bottom w:val="single" w:color="CCCCCC" w:sz="6" w:space="4"/>
        </w:pBdr>
        <w:spacing w:after="200"/>
      </w:pPr>
    </w:p>
    <w:p>
      <w:pPr>
        <w:pStyle w:val="Heading1"/>
        <w:spacing w:after="160" w:before="320"/>
      </w:pPr>
      <w:r>
        <w:t xml:space="preserve">3. Ernährungsberater-Perspektive</w:t>
      </w:r>
    </w:p>
    <w:p>
      <w:pPr>
        <w:pStyle w:val="Heading2"/>
        <w:spacing w:after="120" w:before="240"/>
      </w:pPr>
      <w:r>
        <w:t xml:space="preserve">3.1 Inhaltliche Richtigkeit</w:t>
      </w:r>
    </w:p>
    <w:p>
      <w:pPr>
        <w:pStyle w:val="ListParagraph"/>
        <w:numPr>
          <w:ilvl w:val="0"/>
          <w:numId w:val="1"/>
        </w:numPr>
        <w:spacing w:after="80"/>
      </w:pPr>
      <w:r>
        <w:t xml:space="preserve">Die DGE hat im September 2025 die 3. Auflage der "Referenzwerte für die Nährstoffzufuhr" veröffentlicht (inkl. Erratum, Stand Mai 2026). Stichproben zeigen: Magnesium (300 mg Frauen / 350 mg Männer) und Vitamin D (20 µg) sind bereits korrekt auf dem aktuellen Stand. Eine vollständige Prüfung aller 44 Werte gegen die neue Auflage steht aber noch aus.</w:t>
      </w:r>
    </w:p>
    <w:p>
      <w:pPr>
        <w:pStyle w:val="ListParagraph"/>
        <w:numPr>
          <w:ilvl w:val="0"/>
          <w:numId w:val="1"/>
        </w:numPr>
        <w:spacing w:after="80"/>
      </w:pPr>
      <w:r>
        <w:t xml:space="preserve">Die BLS-4.0-Integration (7.140 echte Einträge statt der vorherigen kuratierten Liste) ist vorbildlich und macht die Lebensmittelempfehlungen erstmals wirklich verlässlich.</w:t>
      </w:r>
    </w:p>
    <w:p>
      <w:pPr>
        <w:pStyle w:val="ListParagraph"/>
        <w:numPr>
          <w:ilvl w:val="0"/>
          <w:numId w:val="1"/>
        </w:numPr>
        <w:spacing w:after="80"/>
      </w:pPr>
      <w:r>
        <w:t xml:space="preserve">Das "Ernährung zuerst"-Banner vor der Supplement-Werbung ist fachlich genau richtig positioniert – das machen viele vergleichbare Apps nicht.</w:t>
      </w:r>
    </w:p>
    <w:p>
      <w:pPr>
        <w:pStyle w:val="Heading2"/>
        <w:spacing w:after="120" w:before="240"/>
      </w:pPr>
      <w:r>
        <w:t xml:space="preserve">3.2 Fehlende Features aus Ernährungsberater-Sicht</w:t>
      </w:r>
    </w:p>
    <w:p>
      <w:pPr>
        <w:pStyle w:val="ListParagraph"/>
        <w:numPr>
          <w:ilvl w:val="0"/>
          <w:numId w:val="1"/>
        </w:numPr>
        <w:spacing w:after="80"/>
      </w:pPr>
      <w:r>
        <w:t xml:space="preserve">Nährstoff-Interaktionen fehlen weiterhin (bereits in Runde 1 benannt, seither nicht umgesetzt): Zink hemmt die Kupferaufnahme, Calcium hemmt die Eisenaufnahme, hochdosiertes Vitamin E beeinflusst die Blutgerinnung. Bei einer App, die täglich sowohl Lebensmittel als auch Supplement-Käufe vorschlägt, wird das Risiko mit jeder neuen Empfehlung größer.</w:t>
      </w:r>
    </w:p>
    <w:p>
      <w:pPr>
        <w:pStyle w:val="ListParagraph"/>
        <w:numPr>
          <w:ilvl w:val="0"/>
          <w:numId w:val="1"/>
        </w:numPr>
        <w:spacing w:after="80"/>
      </w:pPr>
      <w:r>
        <w:t xml:space="preserve">Kein Mahlzeiten- oder Wochenplan, keine Einkaufsliste – die reine Erfassung ist gut gelöst, aber Ernährungsberatung lebt genauso von der Planung nach vorne.</w:t>
      </w:r>
    </w:p>
    <w:p>
      <w:pPr>
        <w:pStyle w:val="ListParagraph"/>
        <w:numPr>
          <w:ilvl w:val="0"/>
          <w:numId w:val="1"/>
        </w:numPr>
        <w:spacing w:after="80"/>
      </w:pPr>
      <w:r>
        <w:t xml:space="preserve">Die Rezept-Datenbank (8 feste Rezepte für 16 Marker) steht in einem starken Ungleichgewicht zur 7.140-Einträge-Lebensmitteldatenbank – größte Lücke im Ernährungsteil.</w:t>
      </w:r>
    </w:p>
    <w:p>
      <w:pPr>
        <w:pStyle w:val="ListParagraph"/>
        <w:numPr>
          <w:ilvl w:val="0"/>
          <w:numId w:val="1"/>
        </w:numPr>
        <w:spacing w:after="80"/>
      </w:pPr>
      <w:r>
        <w:t xml:space="preserve">Kein Tracking von Alkohol oder Koffein, obwohl beides in mehreren Tipp-Texten als Aufnahmehemmer erwähnt wird (Vitamin B1 × Alkohol, Eisen × Kaffee/Tee) – wird erwähnt, aber nirgends erfasst.</w:t>
      </w:r>
    </w:p>
    <w:p>
      <w:pPr>
        <w:pStyle w:val="ListParagraph"/>
        <w:numPr>
          <w:ilvl w:val="0"/>
          <w:numId w:val="1"/>
        </w:numPr>
        <w:spacing w:after="80"/>
      </w:pPr>
      <w:r>
        <w:t xml:space="preserve">Kein Zusammenhang zwischen Symptomen und Ernährung (z. B. "nach fettigem Essen Blähungen") trotz vorhandenem Ernährungstagebuch.</w:t>
      </w:r>
    </w:p>
    <w:p>
      <w:pPr>
        <w:pStyle w:val="Heading2"/>
        <w:spacing w:after="120" w:before="240"/>
      </w:pPr>
      <w:r>
        <w:t xml:space="preserve">3.3 Was Klientinnen sich wünschen</w:t>
      </w:r>
    </w:p>
    <w:p>
      <w:pPr>
        <w:pStyle w:val="ListParagraph"/>
        <w:numPr>
          <w:ilvl w:val="0"/>
          <w:numId w:val="1"/>
        </w:numPr>
        <w:spacing w:after="80"/>
      </w:pPr>
      <w:r>
        <w:t xml:space="preserve">Tägliche, niedrigschwellige Erfassung statt aufwendiger Planung – das leistet die neue Ernährungssuche mit 7.140 BLS-Einträgen bereits gut.</w:t>
      </w:r>
    </w:p>
    <w:p>
      <w:pPr>
        <w:pStyle w:val="ListParagraph"/>
        <w:numPr>
          <w:ilvl w:val="0"/>
          <w:numId w:val="1"/>
        </w:numPr>
        <w:spacing w:after="80"/>
      </w:pPr>
      <w:r>
        <w:t xml:space="preserve">Sichtbarer Fortschritt über Zeit, z. B. ein Wochenrückblick ("diese Woche gut mit Eisen versorgt").</w:t>
      </w:r>
    </w:p>
    <w:p>
      <w:pPr>
        <w:pStyle w:val="ListParagraph"/>
        <w:numPr>
          <w:ilvl w:val="0"/>
          <w:numId w:val="1"/>
        </w:numPr>
        <w:spacing w:after="80"/>
      </w:pPr>
      <w:r>
        <w:t xml:space="preserve">Motivierende statt beschämende Sprache bei Abweichungen – in der App aktuell neutral gehalten, das ist ein Pluspunkt.</w:t>
      </w:r>
    </w:p>
    <w:p>
      <w:pPr>
        <w:pBdr>
          <w:bottom w:val="single" w:color="CCCCCC" w:sz="6" w:space="4"/>
        </w:pBdr>
        <w:spacing w:after="200"/>
      </w:pPr>
    </w:p>
    <w:p>
      <w:pPr>
        <w:pStyle w:val="Heading1"/>
        <w:spacing w:after="160" w:before="320"/>
      </w:pPr>
      <w:r>
        <w:t xml:space="preserve">4. Ist die App großartig genug für die tägliche Nutzung?</w:t>
      </w:r>
    </w:p>
    <w:p>
      <w:pPr>
        <w:spacing w:after="140"/>
      </w:pPr>
      <w:r>
        <w:rPr>
          <w:b/>
          <w:bCs/>
        </w:rPr>
        <w:t xml:space="preserve">Ehrliche Einschätzung: noch nicht durchgängig – aber das liegt an einem strukturellen Grund, nicht an schwacher Umsetzung.</w:t>
      </w:r>
    </w:p>
    <w:p>
      <w:pPr>
        <w:spacing w:after="140"/>
      </w:pPr>
      <w:r>
        <w:t xml:space="preserve">Das ursprüngliche Kernfeature der App, Biomarker-Tracking, ist von Natur aus kein Daily-Use-Feature: Bluttests gibt es alle paar Monate, nicht täglich. Jede Vitamin-Tracking-App mit diesem Grundmodell kämpft mit demselben strukturellen Problem.</w:t>
      </w:r>
    </w:p>
    <w:p>
      <w:pPr>
        <w:spacing w:after="140"/>
      </w:pPr>
      <w:r>
        <w:t xml:space="preserve">Was in den letzten Wochen dazugekommen ist, verschiebt das Bild deutlich: Ernährungstagebuch, Fasten-Timer mit Streak, Blutzucker-Tagesgang und Bewegung/Schritte sind allesamt tägliche Nutzungsmuster, Heißhunger-Journal und Zyklus mehrmals im Monat. Das sind die richtigen Bausteine – die offene Frage ist, ob sie aktuell stark genug ausgespielt werden.</w:t>
      </w:r>
    </w:p>
    <w:p>
      <w:pPr>
        <w:spacing w:after="100"/>
      </w:pPr>
      <w:r>
        <w:rPr>
          <w:b/>
          <w:bCs/>
        </w:rPr>
        <w:t xml:space="preserve">Größter ungenutzter Hebel, sofort umsetzbar:</w:t>
      </w:r>
    </w:p>
    <w:p>
      <w:pPr>
        <w:spacing w:after="140"/>
      </w:pPr>
      <w:r>
        <w:t xml:space="preserve">@capacitor/local-notifications ist bereits als Abhängigkeit im Projekt installiert, wird aber im gesamten Code an keiner Stelle aufgerufen. Es gibt aktuell keinen einzigen Reminder – kein "Zeit für deinen Fasten-Check-in", kein "Trag heute noch dein Gewicht ein", keine Zyklus-Erinnerung. Das ist der mit Abstand günstigste Hebel für tägliche Nutzung, weil die technische Grundlage bereits vorhanden ist und nur noch verdrahtet werden muss.</w:t>
      </w:r>
    </w:p>
    <w:p>
      <w:pPr>
        <w:spacing w:after="100"/>
      </w:pPr>
      <w:r>
        <w:rPr>
          <w:b/>
          <w:bCs/>
        </w:rPr>
        <w:t xml:space="preserve">Weitere Hebel:</w:t>
      </w:r>
    </w:p>
    <w:p>
      <w:pPr>
        <w:pStyle w:val="ListParagraph"/>
        <w:numPr>
          <w:ilvl w:val="0"/>
          <w:numId w:val="1"/>
        </w:numPr>
        <w:spacing w:after="80"/>
      </w:pPr>
      <w:r>
        <w:t xml:space="preserve">Den bereits funktionierenden Fasten-Streak-Mechanismus auf andere Bereiche übertragen, z. B. "X Tage in Folge Ernährung geloggt".</w:t>
      </w:r>
    </w:p>
    <w:p>
      <w:pPr>
        <w:pStyle w:val="ListParagraph"/>
        <w:numPr>
          <w:ilvl w:val="0"/>
          <w:numId w:val="1"/>
        </w:numPr>
        <w:spacing w:after="80"/>
      </w:pPr>
      <w:r>
        <w:t xml:space="preserve">Ein Tages-Startbildschirm mit einer klaren Handlungsaufforderung statt einer reinen Bestandsübersicht – das Dashboard zeigt aktuell primär Status, aber keine Frage "was mache ich heute".</w:t>
      </w:r>
    </w:p>
    <w:p>
      <w:pPr>
        <w:pStyle w:val="ListParagraph"/>
        <w:numPr>
          <w:ilvl w:val="0"/>
          <w:numId w:val="1"/>
        </w:numPr>
        <w:spacing w:after="80"/>
      </w:pPr>
      <w:r>
        <w:t xml:space="preserve">Ein eigener, kleiner Wochenrückblick-Screen (Bewegung, Ernährung, Fasten zusammengefasst) schafft ein wiederkehrendes Ritual über die reine Dateneingabe hinaus.</w:t>
      </w:r>
    </w:p>
    <w:p>
      <w:pPr>
        <w:pStyle w:val="ListParagraph"/>
        <w:numPr>
          <w:ilvl w:val="0"/>
          <w:numId w:val="1"/>
        </w:numPr>
        <w:spacing w:after="80"/>
      </w:pPr>
      <w:r>
        <w:t xml:space="preserve">Das Reframing aus Abschnitt 1 (Zufuhr-Tracking statt Laborwert-Eintragung) würde das Vitamin-Tracking selbst täglich nutzbar machen, weil es dann mit dem Ernährungstagebuch verschmilzt, statt eine separate "alle paar Monate"-Funktion zu bleiben.</w:t>
      </w:r>
    </w:p>
    <w:p>
      <w:pPr>
        <w:spacing w:after="140"/>
      </w:pPr>
      <w:r>
        <w:rPr>
          <w:b/>
          <w:bCs/>
        </w:rPr>
        <w:t xml:space="preserve">Realistische Einschätzung: Mit den jetzt vorhandenen Bausteinen plus aktivierten Erinnerungen ist tägliche Nutzung erreichbar. Ohne aktive Erinnerungen bleibt VitalMetrics eine App, die man alle paar Wochen öffnet.</w:t>
      </w:r>
    </w:p>
    <w:p>
      <w:pPr>
        <w:pBdr>
          <w:bottom w:val="single" w:color="CCCCCC" w:sz="6" w:space="4"/>
        </w:pBdr>
        <w:spacing w:after="200"/>
      </w:pPr>
    </w:p>
    <w:p>
      <w:pPr>
        <w:pStyle w:val="Heading1"/>
        <w:spacing w:after="160" w:before="320"/>
      </w:pPr>
      <w:r>
        <w:t xml:space="preserve">5. Priorisierte Empfehlungen</w:t>
      </w:r>
    </w:p>
    <w:p>
      <w:pPr>
        <w:pStyle w:val="Heading2"/>
        <w:spacing w:after="120" w:before="240"/>
      </w:pPr>
      <w:r>
        <w:t xml:space="preserve">Sofort, wenig Aufwand</w:t>
      </w:r>
    </w:p>
    <w:p>
      <w:pPr>
        <w:pStyle w:val="ListParagraph"/>
        <w:numPr>
          <w:ilvl w:val="0"/>
          <w:numId w:val="1"/>
        </w:numPr>
        <w:spacing w:after="80"/>
      </w:pPr>
      <w:r>
        <w:t xml:space="preserve">Push-Notifications für Fasten-Check-in und tägliche Erinnerungen aktivieren – Infrastruktur ist bereits installiert.</w:t>
      </w:r>
    </w:p>
    <w:p>
      <w:pPr>
        <w:pStyle w:val="ListParagraph"/>
        <w:numPr>
          <w:ilvl w:val="0"/>
          <w:numId w:val="1"/>
        </w:numPr>
        <w:spacing w:after="80"/>
      </w:pPr>
      <w:r>
        <w:t xml:space="preserve">BfR-Warnhinweis zu Vitamin-D-Hochdosen als Tipp ergänzen.</w:t>
      </w:r>
    </w:p>
    <w:p>
      <w:pPr>
        <w:pStyle w:val="ListParagraph"/>
        <w:numPr>
          <w:ilvl w:val="0"/>
          <w:numId w:val="1"/>
        </w:numPr>
        <w:spacing w:after="80"/>
      </w:pPr>
      <w:r>
        <w:t xml:space="preserve">Melatonin/Berberin aus der Amazon-Box zurückhalten, bis rechtlich geprüft (deckt sich mit dem bereits offenen Aktionsplan-Punkt).</w:t>
      </w:r>
    </w:p>
    <w:p>
      <w:pPr>
        <w:pStyle w:val="Heading2"/>
        <w:spacing w:after="120" w:before="240"/>
      </w:pPr>
      <w:r>
        <w:t xml:space="preserve">Mittel, vor breitem Launch</w:t>
      </w:r>
    </w:p>
    <w:p>
      <w:pPr>
        <w:pStyle w:val="ListParagraph"/>
        <w:numPr>
          <w:ilvl w:val="0"/>
          <w:numId w:val="1"/>
        </w:numPr>
        <w:spacing w:after="80"/>
      </w:pPr>
      <w:r>
        <w:t xml:space="preserve">Alle 44 Referenzwerte gegen die DGE-Referenzwerte, 3. Auflage (September 2025), vollständig gegenprüfen.</w:t>
      </w:r>
    </w:p>
    <w:p>
      <w:pPr>
        <w:pStyle w:val="ListParagraph"/>
        <w:numPr>
          <w:ilvl w:val="0"/>
          <w:numId w:val="1"/>
        </w:numPr>
        <w:spacing w:after="80"/>
      </w:pPr>
      <w:r>
        <w:t xml:space="preserve">Calcium als eigenen Biomarker ergänzen – Datenfeld existiert in der BLS-Datenbank bereits.</w:t>
      </w:r>
    </w:p>
    <w:p>
      <w:pPr>
        <w:pStyle w:val="ListParagraph"/>
        <w:numPr>
          <w:ilvl w:val="0"/>
          <w:numId w:val="1"/>
        </w:numPr>
        <w:spacing w:after="80"/>
      </w:pPr>
      <w:r>
        <w:t xml:space="preserve">Zufuhr- vs. Laborwert-Reframing umsetzen (Option A aus Abschnitt 1).</w:t>
      </w:r>
    </w:p>
    <w:p>
      <w:pPr>
        <w:pStyle w:val="Heading2"/>
        <w:spacing w:after="120" w:before="240"/>
      </w:pPr>
      <w:r>
        <w:t xml:space="preserve">Größer, strategisch (nach den kritischen Fixes)</w:t>
      </w:r>
    </w:p>
    <w:p>
      <w:pPr>
        <w:pStyle w:val="ListParagraph"/>
        <w:numPr>
          <w:ilvl w:val="0"/>
          <w:numId w:val="1"/>
        </w:numPr>
        <w:spacing w:after="80"/>
      </w:pPr>
      <w:r>
        <w:t xml:space="preserve">Nährstoff-Interaktionswarnungen auf Basis des (dann sinnvoll genutzten) Diagnose-Felds.</w:t>
      </w:r>
    </w:p>
    <w:p>
      <w:pPr>
        <w:pStyle w:val="ListParagraph"/>
        <w:numPr>
          <w:ilvl w:val="0"/>
          <w:numId w:val="1"/>
        </w:numPr>
        <w:spacing w:after="80"/>
      </w:pPr>
      <w:r>
        <w:t xml:space="preserve">Wochenrückblick-Screen als neues Ritual.</w:t>
      </w:r>
    </w:p>
    <w:p>
      <w:pPr>
        <w:pStyle w:val="ListParagraph"/>
        <w:numPr>
          <w:ilvl w:val="0"/>
          <w:numId w:val="1"/>
        </w:numPr>
        <w:spacing w:after="80"/>
      </w:pPr>
      <w:r>
        <w:t xml:space="preserve">Erweiterte Rezept-Datenbank, angepasst an die Größe der BLS-4.0-Datenbank.</w:t>
      </w:r>
    </w:p>
    <w:p>
      <w:pPr>
        <w:pStyle w:val="ListParagraph"/>
        <w:numPr>
          <w:ilvl w:val="0"/>
          <w:numId w:val="1"/>
        </w:numPr>
        <w:spacing w:after="80"/>
      </w:pPr>
      <w:r>
        <w:t xml:space="preserve">Medikamenten-/Supplement-Feld mit Wechselwirkungshinweisen.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b/>
      <w:bCs/>
      <w:color w:val="1a7a6e"/>
      <w:sz w:val="30"/>
      <w:szCs w:val="30"/>
    </w:rPr>
  </w:style>
  <w:style w:type="paragraph" w:styleId="Heading2">
    <w:name w:val="Heading 2"/>
    <w:basedOn w:val="Normal"/>
    <w:next w:val="Normal"/>
    <w:qFormat/>
    <w:pPr>
      <w:spacing w:after="120" w:before="240"/>
    </w:pPr>
    <w:rPr>
      <w:b/>
      <w:bCs/>
      <w:color w:val="1a7a6e"/>
      <w:sz w:val="25"/>
      <w:szCs w:val="25"/>
    </w:rPr>
  </w:style>
  <w:style w:type="paragraph" w:styleId="Heading3">
    <w:name w:val="Heading 3"/>
    <w:basedOn w:val="Normal"/>
    <w:next w:val="Normal"/>
    <w:qFormat/>
    <w:pPr>
      <w:spacing w:after="100" w:before="180"/>
    </w:pPr>
    <w:rPr>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2026-07-21T03:23:30.802Z</dcterms:created>
  <dcterms:modified xsi:type="dcterms:W3CDTF">2026-07-21T03:23:30.803Z</dcterms:modified>
</cp:coreProperties>
</file>

<file path=docProps/custom.xml><?xml version="1.0" encoding="utf-8"?>
<Properties xmlns="http://schemas.openxmlformats.org/officeDocument/2006/custom-properties" xmlns:vt="http://schemas.openxmlformats.org/officeDocument/2006/docPropsVTypes"/>
</file>