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7a6e"/>
          <w:sz w:val="36"/>
          <w:szCs w:val="36"/>
        </w:rPr>
        <w:t xml:space="preserve">VitalMetrics – Experten-Review Runde 3</w:t>
      </w:r>
    </w:p>
    <w:p>
      <w:pPr>
        <w:spacing w:after="40"/>
      </w:pPr>
      <w:r>
        <w:rPr>
          <w:color w:val="555555"/>
          <w:sz w:val="24"/>
          <w:szCs w:val="24"/>
        </w:rPr>
        <w:t xml:space="preserve">Google-Play-Compliance für Erinnerungen, DSGVO-Bewertung, Monetarisierungs-Strategie</w:t>
      </w:r>
    </w:p>
    <w:p>
      <w:pPr>
        <w:spacing w:after="300"/>
      </w:pPr>
      <w:r>
        <w:rPr>
          <w:i/>
          <w:iCs/>
          <w:color w:val="777777"/>
          <w:sz w:val="20"/>
          <w:szCs w:val="20"/>
        </w:rPr>
        <w:t xml:space="preserve">Für Nicole Döhring · Stand: 21.07.2026 · Anlass: Vertiefung der Runde-2-Empfehlungen (Erinnerungen, Inhalte) durch Expertenrat + zusätzlichen DSGVO-Berater, plus Grundsatzfrage zur Amazon-Affiliate-Monetarisierung</w:t>
      </w:r>
    </w:p>
    <w:p>
      <w:pPr>
        <w:pBdr>
          <w:bottom w:val="single" w:color="CCCCCC" w:sz="6" w:space="4"/>
        </w:pBdr>
        <w:spacing w:after="200"/>
      </w:pPr>
    </w:p>
    <w:p>
      <w:pPr>
        <w:pStyle w:val="Heading1"/>
        <w:spacing w:after="160" w:before="320"/>
      </w:pPr>
      <w:r>
        <w:t xml:space="preserve">1. Google Play: Neue Anforderungen für Gesundheits-Apps</w:t>
      </w:r>
    </w:p>
    <w:p>
      <w:pPr>
        <w:spacing w:after="140"/>
      </w:pPr>
      <w:r>
        <w:t xml:space="preserve">Kurze Antwort auf die Ausgangsfrage: Google verbietet tägliche Erinnerungen nicht grundsätzlich. Es gibt keine erkennbare Regel, die Push-Benachrichtigungen für Gesundheits-Apps speziell einschränkt – die allgemeinen Anti-Spam-Regeln gelten (keine Benachrichtigungen, die System-Warnungen imitieren, keine irreführenden Inhalte). Die eigentliche Hürde ist eine andere, größere: VitalMetrics fällt unter Googles verpflichtende "Health Apps Declaration" – unabhängig von Erinnerungen, allein wegen der Gesundheitsdaten-Funktionalität. Das war bisher in keinem der bisherigen Reviews als eigener Punkt erfasst.</w:t>
      </w:r>
    </w:p>
    <w:p>
      <w:pPr>
        <w:pStyle w:val="Heading2"/>
        <w:spacing w:after="120" w:before="240"/>
      </w:pPr>
      <w:r>
        <w:t xml:space="preserve">1.1 Bestätigt über die offizielle Google-Play-Dokumentation</w:t>
      </w:r>
    </w:p>
    <w:p>
      <w:pPr>
        <w:pStyle w:val="ListParagraph"/>
        <w:numPr>
          <w:ilvl w:val="0"/>
          <w:numId w:val="1"/>
        </w:numPr>
        <w:spacing w:after="80"/>
      </w:pPr>
      <w:r>
        <w:t xml:space="preserve">Health-Apps-Deklaration ist Pflicht: Jede App mit gesundheitsbezogenen Funktionen muss das "Health apps declaration"-Formular in der Play Console ausfüllen (Policy &gt; App content). VitalMetrics fällt eindeutig darunter (Kategorie "Health and fitness apps": Apps, die Nutzerinnen beim Tracken von Gesundheits-, Ernährungs- und Wellness-Daten unterstützen).</w:t>
      </w:r>
    </w:p>
    <w:p>
      <w:pPr>
        <w:pStyle w:val="ListParagraph"/>
        <w:numPr>
          <w:ilvl w:val="0"/>
          <w:numId w:val="1"/>
        </w:numPr>
        <w:spacing w:after="80"/>
      </w:pPr>
      <w:r>
        <w:t xml:space="preserve">Pflicht-Disclaimer in der Store-Beschreibung: Ohne behördliche Zulassung als Medizinprodukt muss die Beschreibung den Satz enthalten, dass die App "kein Medizinprodukt ist und keine Erkrankung diagnostiziert, behandelt, heilt oder verhindert" – und zwar nach neuerer Vorgabe gut sichtbar, nicht am Ende versteckt.</w:t>
      </w:r>
    </w:p>
    <w:p>
      <w:pPr>
        <w:pStyle w:val="ListParagraph"/>
        <w:numPr>
          <w:ilvl w:val="0"/>
          <w:numId w:val="1"/>
        </w:numPr>
        <w:spacing w:after="80"/>
      </w:pPr>
      <w:r>
        <w:t xml:space="preserve">Datenschutzerklärung muss als öffentliche Webseite (kein PDF) vorliegen, identisch in Play Console, App und Website verlinkt, und alle Datenzugriffe vollständig offenlegen – deckt sich mit dem bereits offenen Aktionsplan-Punkt, verschärft ihn aber.</w:t>
      </w:r>
    </w:p>
    <w:p>
      <w:pPr>
        <w:pStyle w:val="ListParagraph"/>
        <w:numPr>
          <w:ilvl w:val="0"/>
          <w:numId w:val="1"/>
        </w:numPr>
        <w:spacing w:after="80"/>
      </w:pPr>
      <w:r>
        <w:t xml:space="preserve">Nur die tatsächlich benötigten Berechtigungen dürfen angefragt werden; nicht genutzte müssen entfernt werden.</w:t>
      </w:r>
    </w:p>
    <w:p>
      <w:pPr>
        <w:pStyle w:val="ListParagraph"/>
        <w:numPr>
          <w:ilvl w:val="0"/>
          <w:numId w:val="1"/>
        </w:numPr>
        <w:spacing w:after="80"/>
      </w:pPr>
      <w:r>
        <w:t xml:space="preserve">Erinnerungen selbst sind nicht das Problem, sondern ein Teil der ohnehin verpflichtenden Offenlegung: Der Zweck ("Erinnerung ans Eintragen") muss in der Datenschutzerklärung und – wo eine Berechtigung mit Nutzerzustimmung nötig ist – auch in einem In-App-Hinweis benannt sein.</w:t>
      </w:r>
    </w:p>
    <w:p>
      <w:pPr>
        <w:spacing w:after="100"/>
      </w:pPr>
      <w:r>
        <w:rPr>
          <w:b/>
          <w:bCs/>
        </w:rPr>
        <w:t xml:space="preserve">Quelle: Google Play Console Hilfe, "Health Content and Services" (support.google.com/googleplay/android-developer/answer/16679511) und "Health app categories and additional information" (answer/13996367), beide zuletzt abgerufen 21.07.2026.</w:t>
      </w:r>
    </w:p>
    <w:p>
      <w:pPr>
        <w:pStyle w:val="Heading2"/>
        <w:spacing w:after="120" w:before="240"/>
      </w:pPr>
      <w:r>
        <w:t xml:space="preserve">1.2 Wichtig, aber noch zu verifizieren – nicht auf offizieller Google-Seite bestätigt</w:t>
      </w:r>
    </w:p>
    <w:p>
      <w:pPr>
        <w:spacing w:after="140"/>
      </w:pPr>
      <w:r>
        <w:rPr>
          <w:b/>
          <w:bCs/>
        </w:rPr>
        <w:t xml:space="preserve">Mehrere unabhängige Quellen (u. a. ein Branchen-Blog, Stand Januar 2026) berichten von einer weiteren Verschärfung: Ab 28. Januar 2026 sollen "Individual"-Entwicklerkonten keine Apps mehr in der Kategorie Gesundheit/Medizin hosten dürfen – nötig wäre dann ein verifiziertes "Organization"-Konto samt D-U-N-S-Nummer (Unternehmenskennung). Ich konnte diese konkrete Aussage auf Googles eigenen Hilfe-Seiten nicht direkt bestätigen – sie ist plausibel angesichts der übrigen Verschärfungen, aber nicht aus erster Hand verifiziert.</w:t>
      </w:r>
    </w:p>
    <w:p>
      <w:pPr>
        <w:spacing w:after="140"/>
      </w:pPr>
      <w:r>
        <w:t xml:space="preserve">Das ist wichtig genug, um es nicht zu ignorieren, aber auch nicht überzubewerten, solange es unbestätigt ist: Bitte in der eigenen Play Console unter Konto-Einstellungen direkt prüfen, welcher Kontotyp aktuell hinterlegt ist und ob dort ein Hinweis auf diese Anforderung erscheint. Falls ja, ist die Umstellung auf ein Organisationskonto ein Vorlauf-Thema mit echtem Zeitbedarf (Firmen-/Gewerbenachweis nötig) und sollte in Phase 1 des Aktionsplans aufgenommen werden.</w:t>
      </w:r>
    </w:p>
    <w:p>
      <w:pPr>
        <w:pBdr>
          <w:bottom w:val="single" w:color="CCCCCC" w:sz="6" w:space="4"/>
        </w:pBdr>
        <w:spacing w:after="200"/>
      </w:pPr>
    </w:p>
    <w:p>
      <w:pPr>
        <w:pStyle w:val="Heading1"/>
        <w:spacing w:after="160" w:before="320"/>
      </w:pPr>
      <w:r>
        <w:t xml:space="preserve">2. DSGVO-Berater: Bewertung der geplanten täglichen Erinnerungen</w:t>
      </w:r>
    </w:p>
    <w:p>
      <w:pPr>
        <w:spacing w:after="140"/>
      </w:pPr>
      <w:r>
        <w:t xml:space="preserve">Neu hinzugezogene Perspektive, wie gewünscht. Die Kernfrage: Ist das lokale Planen von Erinnerungen auf Basis gespeicherter Gesundheitsdaten selbst ein datenschutzrechtlich relevanter Vorgang?</w:t>
      </w:r>
    </w:p>
    <w:p>
      <w:pPr>
        <w:pStyle w:val="ListParagraph"/>
        <w:numPr>
          <w:ilvl w:val="0"/>
          <w:numId w:val="1"/>
        </w:numPr>
        <w:spacing w:after="80"/>
      </w:pPr>
      <w:r>
        <w:t xml:space="preserve">Die Erinnerungslogik läuft vollständig lokal auf dem Gerät über @capacitor/local-notifications – es fließen keine Daten an einen Server oder Dritte. Das ist datenschutzrechtlich der entscheidende Unterschied zu serverseitigem Push (z. B. Firebase Cloud Messaging), wo Google als Auftragsverarbeiter einbezogen würde. Solange rein lokal geplant wird, entsteht keine neue Übermittlung und kein neuer Auftragsverarbeitungsvertrag.</w:t>
      </w:r>
    </w:p>
    <w:p>
      <w:pPr>
        <w:pStyle w:val="ListParagraph"/>
        <w:numPr>
          <w:ilvl w:val="0"/>
          <w:numId w:val="1"/>
        </w:numPr>
        <w:spacing w:after="80"/>
      </w:pPr>
      <w:r>
        <w:t xml:space="preserve">Rechtsgrundlage: Die gleiche Einwilligung, die für die grundsätzliche lokale Speicherung der Gesundheitsdaten gilt (Art. 9 Abs. 2 lit. a DSGVO über die noch ausstehende Consent-Screen, siehe Aktionsplan Phase 2), deckt auch das Erinnerungs-Feature ab – vorausgesetzt, der Zweck "Erinnerungen/Benachrichtigungen" wird in der Consent-Screen und der Datenschutzerklärung ausdrücklich benannt. Das ist ein zusätzlicher Satz, kein neuer Consent-Flow.</w:t>
      </w:r>
    </w:p>
    <w:p>
      <w:pPr>
        <w:pStyle w:val="ListParagraph"/>
        <w:numPr>
          <w:ilvl w:val="0"/>
          <w:numId w:val="1"/>
        </w:numPr>
        <w:spacing w:after="80"/>
      </w:pPr>
      <w:r>
        <w:t xml:space="preserve">Echtes Restrisiko liegt nicht im Backend, sondern auf dem Sperrbildschirm: Eine Benachrichtigung wie "Dein Cortisol-Wert war letzte Woche erhöht – Zeit für einen neuen Test" macht Gesundheitsdaten für jede Person sichtbar, die zufällig auf das gesperrte Display schaut. Das ist ein klassischer Privacy-by-Design-Verstoß (Art. 25 DSGVO), unabhängig davon, ob der Server involviert ist.</w:t>
      </w:r>
    </w:p>
    <w:p>
      <w:pPr>
        <w:spacing w:after="100"/>
      </w:pPr>
      <w:r>
        <w:rPr>
          <w:b/>
          <w:bCs/>
        </w:rPr>
        <w:t xml:space="preserve">Konkrete Empfehlung: Benachrichtigungstexte grundsätzlich neutral halten ("Zeit für dein VitalMetrics-Update" statt konkreter Werte, Marker-Namen oder Status). Das ist keine Kür, sondern die einzige nennenswerte Anpassung, die die DSGVO-Prüfung an der Erinnerungs-Idee überhaupt verlangt.</w:t>
      </w:r>
    </w:p>
    <w:p>
      <w:pPr>
        <w:spacing w:after="140"/>
      </w:pPr>
      <w:r>
        <w:t xml:space="preserve">Android verlangt ab Version 13 ohnehin eine explizite Laufzeit-Berechtigung (POST_NOTIFICATIONS) für Benachrichtigungen – das ist technisch bereits ein granularer Opt-in-Mechanismus und passt gut zur DSGVO-Anforderung der Freiwilligkeit.</w:t>
      </w:r>
    </w:p>
    <w:p>
      <w:pPr>
        <w:pBdr>
          <w:bottom w:val="single" w:color="CCCCCC" w:sz="6" w:space="4"/>
        </w:pBdr>
        <w:spacing w:after="200"/>
      </w:pPr>
    </w:p>
    <w:p>
      <w:pPr>
        <w:pStyle w:val="Heading1"/>
        <w:spacing w:after="160" w:before="320"/>
      </w:pPr>
      <w:r>
        <w:t xml:space="preserve">3. Expertenrat: Bewertung der Runde-2-Ideen</w:t>
      </w:r>
    </w:p>
    <w:p>
      <w:pPr>
        <w:pStyle w:val="ListParagraph"/>
        <w:numPr>
          <w:ilvl w:val="0"/>
          <w:numId w:val="1"/>
        </w:numPr>
        <w:spacing w:after="80"/>
      </w:pPr>
      <w:r>
        <w:t xml:space="preserve">Ernährungsexpertin: Begrüßt das Zufuhr-vs-Laborwert-Reframing ausdrücklich – es löst nebenbei ein Problem, das ihr bei der ersten Durchsicht schon aufgefallen war, sie es aber nicht als Kernbefund benannt hatte. Ergänzt: Wenn Vitamin-/Mineralstoff-Tracking künftig im Ernährungstagebuch aufgeht, sollte die Tages-Erinnerung genau dort ansetzen ("Heute noch nichts gegessen eingetragen") statt separat pro Marker.</w:t>
      </w:r>
    </w:p>
    <w:p>
      <w:pPr>
        <w:pStyle w:val="ListParagraph"/>
        <w:numPr>
          <w:ilvl w:val="0"/>
          <w:numId w:val="1"/>
        </w:numPr>
        <w:spacing w:after="80"/>
      </w:pPr>
      <w:r>
        <w:t xml:space="preserve">Anwalt (App-Recht): Bestätigt die Google-Play-Health-Declaration als neuen, eigenständigen Punkt, unabhängig vom Amazon-Thema. Empfiehlt, den Store-Beschreibungstext frühzeitig zu entwerfen, weil der Pflicht-Disclaimer jetzt in den ersten Absatz muss – das betrifft auch den bereits geplanten TikTok-Content, dessen Sprache zur Store-Beschreibung passen sollte.</w:t>
      </w:r>
    </w:p>
    <w:p>
      <w:pPr>
        <w:pStyle w:val="ListParagraph"/>
        <w:numPr>
          <w:ilvl w:val="0"/>
          <w:numId w:val="1"/>
        </w:numPr>
        <w:spacing w:after="80"/>
      </w:pPr>
      <w:r>
        <w:t xml:space="preserve">Datenschutzexperte: Deckt sich mit der DSGVO-Berater-Einschätzung in Abschnitt 2, ergänzt: Die Consent-Screen (Phase 2, weiterhin offen) sollte ohnehin as Sammelstelle für alle Einwilligungszwecke dienen – Erinnerungen jetzt gleich mitdenken, statt später einen zweiten Consent-Dialog nachzuziehen.</w:t>
      </w:r>
    </w:p>
    <w:p>
      <w:pPr>
        <w:pStyle w:val="ListParagraph"/>
        <w:numPr>
          <w:ilvl w:val="0"/>
          <w:numId w:val="1"/>
        </w:numPr>
        <w:spacing w:after="80"/>
      </w:pPr>
      <w:r>
        <w:t xml:space="preserve">Regulatory-Affairs-Experte (MDR): Sieht in den Runde-2-Vorschlägen keine neue Verschärfung des Medizinprodukt-Risikos – Erinnerungen und Wochenrückblick sind reine Nutzungs-Features ohne Diagnose- oder Therapiebezug. Warnt aber im Zusammenhang mit Abschnitt 4: Genau an dieser Stelle würde eine engere Verzahnung von Status-Ampel und Supplement-Empfehlung das Risiko erhöhen, siehe unten.</w:t>
      </w:r>
    </w:p>
    <w:p>
      <w:pPr>
        <w:pStyle w:val="ListParagraph"/>
        <w:numPr>
          <w:ilvl w:val="0"/>
          <w:numId w:val="1"/>
        </w:numPr>
        <w:spacing w:after="80"/>
      </w:pPr>
      <w:r>
        <w:t xml:space="preserve">IT-Sicherheitsexperte: Keine Einwände gegen lokale Notifications. Weist ergänzend darauf hin, dass Benachrichtigungsinhalte, die aus der SQLite-Datenbank gezogen werden, beim Rendern keine Rohdaten in Logs schreiben sollten (z. B. kein console.log mit Klartext-Werten in der Notification-Pipeline) – Standard-Absicherung, kein neues Risiko.</w:t>
      </w:r>
    </w:p>
    <w:p>
      <w:pPr>
        <w:pStyle w:val="ListParagraph"/>
        <w:numPr>
          <w:ilvl w:val="0"/>
          <w:numId w:val="1"/>
        </w:numPr>
        <w:spacing w:after="80"/>
      </w:pPr>
      <w:r>
        <w:t xml:space="preserve">App-Entwickler: Bestätigt, dass @capacitor/local-notifications ohne zusätzliche native Konfiguration direkt nutzbar ist (Berechtigung wird zur Laufzeit angefragt), und dass der Aufwand für die Grundfunktion (ein bis zwei feste Erinnerungszeiten) klein ist – schätzt das als 1–2 Tage Umsetzung ein, nicht als größeres Projekt.</w:t>
      </w:r>
    </w:p>
    <w:p>
      <w:pPr>
        <w:pBdr>
          <w:bottom w:val="single" w:color="CCCCCC" w:sz="6" w:space="4"/>
        </w:pBdr>
        <w:spacing w:after="200"/>
      </w:pPr>
    </w:p>
    <w:p>
      <w:pPr>
        <w:pStyle w:val="Heading1"/>
        <w:spacing w:after="160" w:before="320"/>
      </w:pPr>
      <w:r>
        <w:t xml:space="preserve">4. Grundsatzfrage: Supplements &amp; Labortest-Links streichen?</w:t>
      </w:r>
    </w:p>
    <w:p>
      <w:pPr>
        <w:spacing w:after="140"/>
      </w:pPr>
      <w:r>
        <w:t xml:space="preserve">Die Frage kommt zum richtigen Zeitpunkt – seit der letzten Runde ist die Liste der Gründe, die gegen das aktuelle Amazon-Affiliate-Modell sprechen, länger geworden. Zusammengefasst:</w:t>
      </w:r>
    </w:p>
    <w:p>
      <w:pPr>
        <w:pStyle w:val="Heading2"/>
        <w:spacing w:after="120" w:before="240"/>
      </w:pPr>
      <w:r>
        <w:t xml:space="preserve">4.1 Was für einen Verzicht spricht</w:t>
      </w:r>
    </w:p>
    <w:p>
      <w:pPr>
        <w:pStyle w:val="ListParagraph"/>
        <w:numPr>
          <w:ilvl w:val="0"/>
          <w:numId w:val="1"/>
        </w:numPr>
        <w:spacing w:after="80"/>
      </w:pPr>
      <w:r>
        <w:t xml:space="preserve">Der Regulatory-Affairs-Experte warnt seit Runde 1, dass jede Verzahnung von Status-Ampel und Produktempfehlung die App näher an eine "Software as a Medical Device"-Einstufung rückt – eine Amazon-Box, die bei "Wert niedrig" gezielt ein Supplement bewirbt, ist genau diese Verzahnung.</w:t>
      </w:r>
    </w:p>
    <w:p>
      <w:pPr>
        <w:pStyle w:val="ListParagraph"/>
        <w:numPr>
          <w:ilvl w:val="0"/>
          <w:numId w:val="1"/>
        </w:numPr>
        <w:spacing w:after="80"/>
      </w:pPr>
      <w:r>
        <w:t xml:space="preserve">Google Play führt "Health Misinformation" und "Unapproved Substances" als eigene, aktiv durchgesetzte Richtlinien-Kategorien – ein zusätzliches Prüfrisiko, das komplett entfällt, wenn keine Produkte mehr verkauft/verlinkt werden.</w:t>
      </w:r>
    </w:p>
    <w:p>
      <w:pPr>
        <w:pStyle w:val="ListParagraph"/>
        <w:numPr>
          <w:ilvl w:val="0"/>
          <w:numId w:val="1"/>
        </w:numPr>
        <w:spacing w:after="80"/>
      </w:pPr>
      <w:r>
        <w:t xml:space="preserve">Die Amazon-Mobile-App-Zulassung ist ein eigener, zeitlich unsicherer externer Prozess (aktuell beantragt, Antwort offen) – ein Wegfall der Amazon-Box macht die App insgesamt unabhängiger von einer Drittanbieter-Entscheidung.</w:t>
      </w:r>
    </w:p>
    <w:p>
      <w:pPr>
        <w:pStyle w:val="ListParagraph"/>
        <w:numPr>
          <w:ilvl w:val="0"/>
          <w:numId w:val="1"/>
        </w:numPr>
        <w:spacing w:after="80"/>
      </w:pPr>
      <w:r>
        <w:t xml:space="preserve">Melatonin und Berberin bleiben ein ungelöstes rechtliches Risiko (Melatonin ab 1 mg verschreibungspflichtig in Deutschland) – fällt mit der gesamten Kategorie weg, statt einzeln nachverhandelt werden zu müssen.</w:t>
      </w:r>
    </w:p>
    <w:p>
      <w:pPr>
        <w:pStyle w:val="ListParagraph"/>
        <w:numPr>
          <w:ilvl w:val="0"/>
          <w:numId w:val="1"/>
        </w:numPr>
        <w:spacing w:after="80"/>
      </w:pPr>
      <w:r>
        <w:t xml:space="preserve">Positionierung: "Wir verkaufen nichts, wir ordnen nur ein" ist ein einfacheres, vertrauenswürdigeres Markenversprechen für eine Gesundheits-App – gerade im TikTok-Aufklärungscontent leichter zu kommunizieren als "kostenlos, aber mit Kaufanreiz".</w:t>
      </w:r>
    </w:p>
    <w:p>
      <w:pPr>
        <w:pStyle w:val="Heading2"/>
        <w:spacing w:after="120" w:before="240"/>
      </w:pPr>
      <w:r>
        <w:t xml:space="preserve">4.2 Was für ein Beibehalten spricht</w:t>
      </w:r>
    </w:p>
    <w:p>
      <w:pPr>
        <w:pStyle w:val="ListParagraph"/>
        <w:numPr>
          <w:ilvl w:val="0"/>
          <w:numId w:val="1"/>
        </w:numPr>
        <w:spacing w:after="80"/>
      </w:pPr>
      <w:r>
        <w:t xml:space="preserve">Zusätzliche Einnahmequelle, die auch bei Free-Nutzerinnen greift (Premium-Abo braucht Kaufbereitschaft, Affiliate-Klicks nicht).</w:t>
      </w:r>
    </w:p>
    <w:p>
      <w:pPr>
        <w:pStyle w:val="ListParagraph"/>
        <w:numPr>
          <w:ilvl w:val="0"/>
          <w:numId w:val="1"/>
        </w:numPr>
        <w:spacing w:after="80"/>
      </w:pPr>
      <w:r>
        <w:t xml:space="preserve">Die Vorarbeit ist bereits gemacht (Entscheidung 2, technisch fertig hinter einem Feature-Flag) – der Wegfall wäre kein technischer Verlust, nur ein Nicht-Aktivieren.</w:t>
      </w:r>
    </w:p>
    <w:p>
      <w:pPr>
        <w:pStyle w:val="Heading2"/>
        <w:spacing w:after="120" w:before="240"/>
      </w:pPr>
      <w:r>
        <w:t xml:space="preserve">4.3 Empfehlung</w:t>
      </w:r>
    </w:p>
    <w:p>
      <w:pPr>
        <w:spacing w:after="140"/>
      </w:pPr>
      <w:r>
        <w:rPr>
          <w:b/>
          <w:bCs/>
        </w:rPr>
        <w:t xml:space="preserve">Der Expertenrat empfiehlt mehrheitlich, die Amazon-Supplement- und Schnelltest-Käuflinks für den Start nicht zu aktivieren und die Monetarisierung vollständig auf das Premium-Abo zu konzentrieren. Das ist keine Fundamentalkritik am Affiliate-Modell an sich, sondern eine Frage der Reihenfolge: Das Risiko-Nutzen-Verhältnis ist beim aktuellen Entwicklungsstand ungünstig – eine noch unsichere Amazon-Zulassung, zwei ungeklärte Einzelfälle (Melatonin, Berberin) und ein zusätzliches Google-Play-Prüfrisiko stehen einer Einnahmequelle gegenüber, die neben dem Premium-Abo eher ergänzend als tragend wäre.</w:t>
      </w:r>
    </w:p>
    <w:p>
      <w:pPr>
        <w:spacing w:after="140"/>
      </w:pPr>
      <w:r>
        <w:t xml:space="preserve">Praktisch heißt das: AFFILIATE_LINKS_ENABLED bleibt auf false, aber der Code bleibt bestehen – die Entscheidung ist jederzeit reversibel, falls sich die Amazon-Zulassung klärt und Melatonin/Berberin rechtlich sauber eingeordnet sind.</w:t>
      </w:r>
    </w:p>
    <w:p>
      <w:pPr>
        <w:spacing w:after="100"/>
      </w:pPr>
      <w:r>
        <w:rPr>
          <w:b/>
          <w:bCs/>
        </w:rPr>
        <w:t xml:space="preserve">Alternative Umsatzideen, falls die Amazon-Box dauerhaft wegfällt:</w:t>
      </w:r>
    </w:p>
    <w:p>
      <w:pPr>
        <w:pStyle w:val="ListParagraph"/>
        <w:numPr>
          <w:ilvl w:val="0"/>
          <w:numId w:val="1"/>
        </w:numPr>
        <w:spacing w:after="80"/>
      </w:pPr>
      <w:r>
        <w:t xml:space="preserve">Premium-Abo als alleinige Einnahmequelle, gestärkt durch die Runde-2-Verbesserungen (Verlauf, Einordnung, PDF-Bericht sind bereits die Kernargumente).</w:t>
      </w:r>
    </w:p>
    <w:p>
      <w:pPr>
        <w:pStyle w:val="ListParagraph"/>
        <w:numPr>
          <w:ilvl w:val="0"/>
          <w:numId w:val="1"/>
        </w:numPr>
        <w:spacing w:after="80"/>
      </w:pPr>
      <w:r>
        <w:t xml:space="preserve">Reine Informations-Empfehlungen ohne Kauflink ("hilfreiche Lebensmittel/Nährstoffe", wie es die BLS-Lebensmittelvorschläge bereits tun) – kein Umsatz, aber voller Nutzwert ohne Regulierungsrisiko.</w:t>
      </w:r>
    </w:p>
    <w:p>
      <w:pPr>
        <w:pStyle w:val="ListParagraph"/>
        <w:numPr>
          <w:ilvl w:val="0"/>
          <w:numId w:val="1"/>
        </w:numPr>
        <w:spacing w:after="80"/>
      </w:pPr>
      <w:r>
        <w:t xml:space="preserve">Kooperationen mit deutschen Ernährungsberaterinnen/-beratern oder zertifizierten Testlaboren als Partner mit eigenem Vertrag statt anonymer Amazon-Tags – höhere Kontrolle, aber mehr Aufwand in der Anbahnung.</w:t>
      </w:r>
    </w:p>
    <w:p>
      <w:pPr>
        <w:pStyle w:val="ListParagraph"/>
        <w:numPr>
          <w:ilvl w:val="0"/>
          <w:numId w:val="1"/>
        </w:numPr>
        <w:spacing w:after="80"/>
      </w:pPr>
      <w:r>
        <w:t xml:space="preserve">Eigene digitale Inhalte verkaufen (z. B. von Ernährungsberaterinnen erstellte Wochenpläne) – deckt sich mit der in Runde 2 identifizierten Lücke bei Mahlzeitenplanung und wäre gleichzeitig Umsatz UND Feature-Verbesserung.</w:t>
      </w:r>
    </w:p>
    <w:p>
      <w:pPr>
        <w:pBdr>
          <w:bottom w:val="single" w:color="CCCCCC" w:sz="6" w:space="4"/>
        </w:pBdr>
        <w:spacing w:after="200"/>
      </w:pPr>
    </w:p>
    <w:p>
      <w:pPr>
        <w:pStyle w:val="Heading1"/>
        <w:spacing w:after="160" w:before="320"/>
      </w:pPr>
      <w:r>
        <w:t xml:space="preserve">5. Aktualisierte Prioritätenliste</w:t>
      </w:r>
    </w:p>
    <w:p>
      <w:pPr>
        <w:pStyle w:val="Heading2"/>
        <w:spacing w:after="120" w:before="240"/>
      </w:pPr>
      <w:r>
        <w:t xml:space="preserve">Sofort</w:t>
      </w:r>
    </w:p>
    <w:p>
      <w:pPr>
        <w:pStyle w:val="ListParagraph"/>
        <w:numPr>
          <w:ilvl w:val="0"/>
          <w:numId w:val="1"/>
        </w:numPr>
        <w:spacing w:after="80"/>
      </w:pPr>
      <w:r>
        <w:t xml:space="preserve">Play-Console-Kontotyp prüfen (Individual vs. Organization) – Klärung der unverifizierten Januar-2026-Anforderung.</w:t>
      </w:r>
    </w:p>
    <w:p>
      <w:pPr>
        <w:pStyle w:val="ListParagraph"/>
        <w:numPr>
          <w:ilvl w:val="0"/>
          <w:numId w:val="1"/>
        </w:numPr>
        <w:spacing w:after="80"/>
      </w:pPr>
      <w:r>
        <w:t xml:space="preserve">Health-Apps-Deklaration in der Play Console ausfüllen, sobald die App zur Veröffentlichung vorbereitet wird.</w:t>
      </w:r>
    </w:p>
    <w:p>
      <w:pPr>
        <w:pStyle w:val="ListParagraph"/>
        <w:numPr>
          <w:ilvl w:val="0"/>
          <w:numId w:val="1"/>
        </w:numPr>
        <w:spacing w:after="80"/>
      </w:pPr>
      <w:r>
        <w:t xml:space="preserve">Entscheidung endgültig treffen: Amazon-Box dauerhaft aus, oder nur bis zur Zulassung pausiert?</w:t>
      </w:r>
    </w:p>
    <w:p>
      <w:pPr>
        <w:pStyle w:val="Heading2"/>
        <w:spacing w:after="120" w:before="240"/>
      </w:pPr>
      <w:r>
        <w:t xml:space="preserve">Vor breitem Launch</w:t>
      </w:r>
    </w:p>
    <w:p>
      <w:pPr>
        <w:pStyle w:val="ListParagraph"/>
        <w:numPr>
          <w:ilvl w:val="0"/>
          <w:numId w:val="1"/>
        </w:numPr>
        <w:spacing w:after="80"/>
      </w:pPr>
      <w:r>
        <w:t xml:space="preserve">Pflicht-Disclaimer ("kein Medizinprodukt …") in den ersten Absatz der Store-Beschreibung aufnehmen.</w:t>
      </w:r>
    </w:p>
    <w:p>
      <w:pPr>
        <w:pStyle w:val="ListParagraph"/>
        <w:numPr>
          <w:ilvl w:val="0"/>
          <w:numId w:val="1"/>
        </w:numPr>
        <w:spacing w:after="80"/>
      </w:pPr>
      <w:r>
        <w:t xml:space="preserve">Datenschutzerklärung als öffentliche, nicht-editierbare Webseite bereitstellen, identisch in Play Console/App/Website verlinkt.</w:t>
      </w:r>
    </w:p>
    <w:p>
      <w:pPr>
        <w:pStyle w:val="ListParagraph"/>
        <w:numPr>
          <w:ilvl w:val="0"/>
          <w:numId w:val="1"/>
        </w:numPr>
        <w:spacing w:after="80"/>
      </w:pPr>
      <w:r>
        <w:t xml:space="preserve">Notification-Texte neutral formulieren, Erinnerungs-Zweck in Consent-Screen und Datenschutzerklärung aufnehmen.</w:t>
      </w:r>
    </w:p>
    <w:p>
      <w:pPr>
        <w:pStyle w:val="Heading2"/>
        <w:spacing w:after="120" w:before="240"/>
      </w:pPr>
      <w:r>
        <w:t xml:space="preserve">Nach den kritischen Fixes</w:t>
      </w:r>
    </w:p>
    <w:p>
      <w:pPr>
        <w:pStyle w:val="ListParagraph"/>
        <w:numPr>
          <w:ilvl w:val="0"/>
          <w:numId w:val="1"/>
        </w:numPr>
        <w:spacing w:after="80"/>
      </w:pPr>
      <w:r>
        <w:t xml:space="preserve">Push-Notifications implementieren (App-Entwickler schätzt 1–2 Tage für die Grundfunktion).</w:t>
      </w:r>
    </w:p>
    <w:p>
      <w:pPr>
        <w:pStyle w:val="ListParagraph"/>
        <w:numPr>
          <w:ilvl w:val="0"/>
          <w:numId w:val="1"/>
        </w:numPr>
        <w:spacing w:after="80"/>
      </w:pPr>
      <w:r>
        <w:t xml:space="preserve">Alternative Umsatzideen aus Abschnitt 4.3 vertiefen.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a7a6e"/>
      <w:sz w:val="30"/>
      <w:szCs w:val="30"/>
    </w:rPr>
  </w:style>
  <w:style w:type="paragraph" w:styleId="Heading2">
    <w:name w:val="Heading 2"/>
    <w:basedOn w:val="Normal"/>
    <w:next w:val="Normal"/>
    <w:qFormat/>
    <w:pPr>
      <w:spacing w:after="120" w:before="240"/>
    </w:pPr>
    <w:rPr>
      <w:b/>
      <w:bCs/>
      <w:color w:val="1a7a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2026-07-21T03:45:31.506Z</dcterms:created>
  <dcterms:modified xsi:type="dcterms:W3CDTF">2026-07-21T03:45:31.507Z</dcterms:modified>
</cp:coreProperties>
</file>

<file path=docProps/custom.xml><?xml version="1.0" encoding="utf-8"?>
<Properties xmlns="http://schemas.openxmlformats.org/officeDocument/2006/custom-properties" xmlns:vt="http://schemas.openxmlformats.org/officeDocument/2006/docPropsVTypes"/>
</file>