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E5A5A"/>
          <w:sz w:val="44"/>
          <w:szCs w:val="44"/>
        </w:rPr>
        <w:t xml:space="preserve">VitalMetrics - Experten-Review &amp; Aktionsplan</w:t>
      </w:r>
    </w:p>
    <w:p>
      <w:pPr>
        <w:spacing w:after="60"/>
      </w:pPr>
      <w:r>
        <w:rPr>
          <w:color w:val="1B2A4A"/>
          <w:sz w:val="24"/>
          <w:szCs w:val="24"/>
        </w:rPr>
        <w:t xml:space="preserve">6 Experten-Perspektiven, zusammengefuehrter Aktionsplan, gemeinsame Schlussfolgerung</w:t>
      </w:r>
    </w:p>
    <w:p>
      <w:pPr>
        <w:spacing w:after="500"/>
      </w:pPr>
      <w:r>
        <w:rPr>
          <w:i/>
          <w:iCs/>
          <w:color w:val="666666"/>
          <w:sz w:val="18"/>
          <w:szCs w:val="18"/>
        </w:rPr>
        <w:t xml:space="preserve">Aktualisiert am 19.07.2026 - inkl. Datenschutz, Regulatory Affairs und IT-Sicherheit</w:t>
      </w:r>
    </w:p>
    <w:p>
      <w:pPr>
        <w:pStyle w:val="Heading1"/>
        <w:spacing w:after="200" w:before="400"/>
      </w:pPr>
      <w:r>
        <w:t xml:space="preserve">1. Was fehlt und echter Mehrwert - je Experte</w:t>
      </w:r>
    </w:p>
    <w:p>
      <w:pPr>
        <w:pStyle w:val="Heading2"/>
        <w:spacing w:after="150" w:before="300"/>
      </w:pPr>
      <w:r>
        <w:t xml:space="preserve">Ernaehrungsexpertin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Naehrstoff-Interaktionen fehlen komplett (Zink hemmt Kupferaufnahme, Calcium hemmt Eisenaufnahme, hochdosiertes Vitamin E beeinflusst Blutgerinnung).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Das Diagnosen-Feld wird aktuell nirgends genutzt - groesste ungenutzte Chance: Wechselwirkungs-Hinweise zu Medikamenten anzeigen, wenn eine passende Diagnose hinterlegt 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Einheiten-Normalisierung fehlt (z. B. Vitamin D in ng/mL vs. nmol/L je nach Labor).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Trend-Kontext wird nicht ausgespielt, obwohl die Chart-Infrastruktur vorhanden 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Saisonale Hinweise fehlen (Vitamin D im Winter vs. Sommer).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Der geplante Longevity-Score braucht eine nachvollziehbare Methodik, sonst wirkt er wie ein medizinischer Risikoscore.</w:t>
      </w:r>
    </w:p>
    <w:p>
      <w:pPr>
        <w:pStyle w:val="Heading2"/>
        <w:spacing w:after="150" w:before="300"/>
      </w:pPr>
      <w:r>
        <w:t xml:space="preserve">Anwalt (App-Recht / Affiliate / Play Store)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Amazon PartnerNet verlangt fuer Affiliate-Links in Apps eine gesondert beantragte Zugelassene Mobile Anwendung. Das Freemium-Modell verstoesst gegen die Voraussetzung freien Zugriffs auf alle Amazon-Links, und der Code nutzt selbst gebaute Such-URLs statt der vorgeschriebenen Amazon-Tools - Kaeufe koennten aktuell gar nicht provisionsfaehig sein.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Die Datenschutzerklaerung beruft sich auf Art. 9 Abs. 2 lit. a DSGVO - im Code fehlt aber eine echte Consent-Screen vor der ersten Gesundheitsdateneingabe.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AGB fehlen weiterhin - mit echtem In-App-Kauf jetzt Pflicht statt Kuer.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Kein strukturierter Datenexport (Art. 20 DSGVO).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Mehrwert: eine zentrale Health-Claims-Bibliothek als Single Source of Truth fuer App und TikTok-Content.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Positiv: Loeschfunktion fuer Messwerte existiert bereits - Pluspunkt fuer Art. 17 DSGVO.</w:t>
      </w:r>
    </w:p>
    <w:p>
      <w:pPr>
        <w:pStyle w:val="Heading2"/>
        <w:spacing w:after="150" w:before="300"/>
      </w:pPr>
      <w:r>
        <w:t xml:space="preserve">Datenschutzexperte (DPO / DSFA)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Eine Datenschutz-Folgenabschaetzung (DPIA, Art. 35 DSGVO) ist bei systematischer, umfangreicher Verarbeitung von Gesundheitsdaten (Art. 9) wahrscheinlich verpflichtend, sobald die App mit nennenswerter Nutzerzahl live geht - sollte vor breitem Public-Launch durchgefuehrt werden, nicht erst danach.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Die fehlende Consent-Screen ist aus DPO-Sicht nicht nur eine Luecke, sondern ein Blocker: ohne echte, dokumentierte Einwilligung steht die in der Datenschutzerklaerung behauptete Rechtsgrundlage auf wackligen Fuessen.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Das freie Diagnosen-Textfeld kann unbeabsichtigt weitere besonders schuetzenswerte Angaben erfassen, die ueber den urspruenglichen Zweck hinausgehen - entweder auf eine definierte Auswahlliste begrenzen oder die Zweckbindung im Consent explizit benennen.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Ein internes Verzeichnis von Verarbeitungstaetigkeiten (Art. 30 DSGVO) sollte dokumentiert werden, auch wenn alles lokal auf dem Geraet verarbeitet wird - die Anbieterin bleibt Verantwortliche fuer die App-Konzeption.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Mehrwert: die vorhandene Loesch-/Exportfunktion und die 100-Prozent-lokale Speicherung sind ein echtes Privacy-by-Design-Argument, das im Marketing bisher zu wenig genutzt wird.</w:t>
      </w:r>
    </w:p>
    <w:p>
      <w:pPr>
        <w:pStyle w:val="Heading2"/>
        <w:spacing w:after="150" w:before="300"/>
      </w:pPr>
      <w:r>
        <w:t xml:space="preserve">Regulatory-Affairs-Experte (Medizinprodukte / MDR)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Die App bewegt sich an der Grenze zwischen Wellness-App und Software als Medizinprodukt (EU-Verordnung 2017/745). Je mehr klinische Marker (Cortisol, Testosteron, hsCRP, HbA1c, Calprotectin) und interpretierende Scores (Longevity-Score) angeboten werden, desto hoeher das Risiko einer Umqualifizierung.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Wichtig: die Einstufung haengt nicht nur vom Code ab, sondern auch von der Marketingsprache (MDCG 2019-11 Leitfaden) - der geplante TikTok-Content und die Store-Beschreibung muessen konsistent zur Kein-Medizinprodukt-Position bleiben, sonst kann das Marketing selbst die Einstufung kippen.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Empfehlung: eine schriftliche Intended-Purpose-Begruendung erstellen, bevor breiter vermarktet wird - Grundlage, auf der im Zweifel eine Behoerde oder ein Wettbewerber pruefen wuerde.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Diese Einstufung sollte mit der Health-Claims-Pruefung des Anwalts in einem gemeinsamen Dokument zusammengefuehrt werden, da beide dieselbe Marketing- und Produktsprache betreffen.</w:t>
      </w:r>
    </w:p>
    <w:p>
      <w:pPr>
        <w:pStyle w:val="Heading2"/>
        <w:spacing w:after="150" w:before="300"/>
      </w:pPr>
      <w:r>
        <w:t xml:space="preserve">IT-Sicherheitsexperte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In-App-Kaeufe werden aktuell nur clientseitig ueber die Play-Billing-Bibliothek validiert, ohne erkennbare serverseitige Quittungspruefung - gepatchte oder gerootete Geraete koennten Premium ohne Zahlung freischalten. Vor Skalierung: Google Play Integrity API einbinden, langfristig serverseitige Verifizierung.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Die gesamte Business-Logik (Referenzwerte, Premium-Check, Affiliate-Tag) liegt unobfuskiert im WebView-Bundle der APK und ist trivial extrahierbar und patchbar. proguard-rules.pro schuetzt nur die native Android-Schicht, nicht das JS/HTML-Bundle.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Keine zusaetzliche Verschluesselung der lokalen Gesundheitsdaten ueber die App-Sandbox hinaus erkennbar - bei Art.-9-Daten waere eine zusaetzliche Verschluesselung (z. B. SQLCipher) ein sinnvolles Haertungsmass.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Kein Crash-/Security-Monitoring - deckt sich mit dem Entwickler-Fund, ist aber auch aus Sicherheitssicht relevant, um Angriffe oder Fehlverhalten frueh zu erkennen.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Positiv bestaetigt: Keystore-Handling und CI-Secrets sind sauber ueber .gitignore und GitHub Secrets abgesichert.</w:t>
      </w:r>
    </w:p>
    <w:p>
      <w:pPr>
        <w:pStyle w:val="Heading2"/>
        <w:spacing w:after="150" w:before="300"/>
      </w:pPr>
      <w:r>
        <w:t xml:space="preserve">Erfahrener App-Entwickler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Die app/src-vs-Monolith-Frage bleibt Voraussetzung fuer jede Aufwandsschaetzung.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Keine automatisierten Tests, am wichtigsten fuer die Status-Berechnung (low/ok/high).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CI-Pipeline existiert bereits (build-release.yml), aber ohne Test-/Lint-Gate.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Kein Crash-/Fehler-Reporting - gerade jetzt vor echten Testern wertvoll.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Versions-/Doku-Drift: README nennt 1.0.0, Manifest steht bei 1.1.3.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Zusammengefuehrter Aktionsplan</w:t>
      </w:r>
    </w:p>
    <w:p>
      <w:pPr>
        <w:spacing w:after="160"/>
      </w:pPr>
      <w:r>
        <w:t xml:space="preserve">Nach Dringlichkeit sortiert. Phase 0 ist Voraussetzung fuer alles danach, Phase 1 ist zeitkritisch.</w:t>
      </w:r>
    </w:p>
    <w:p>
      <w:pPr>
        <w:pStyle w:val="Heading2"/>
        <w:spacing w:after="150" w:before="300"/>
      </w:pPr>
      <w:r>
        <w:t xml:space="preserve">Phase 0 - Architektur-Entscheidung (sofort)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Entscheiden: app/src weiterfuehren und Monolithen abloesen - oder app/src bewusst verwerfen.</w:t>
      </w:r>
    </w:p>
    <w:p>
      <w:pPr>
        <w:pStyle w:val="Heading2"/>
        <w:spacing w:after="150" w:before="300"/>
      </w:pPr>
      <w:r>
        <w:t xml:space="preserve">Phase 1 - Rechtlich und regulatorisch zeitkritisch (vor dem TikTok-Start)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Amazon-Zulassung als Mobile Anwendung beantragen und Paywall-Konflikt loesen.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Diagnostik-nahe Selbsttests pausieren oder von Fachanwalt pruefen lassen.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Melatonin- und Berberin-Eintraege rechtlich pruefen lassen.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Datenschutzerklaerung um Open-Food-Facts-Datenfluss ergaenzen.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DPIA-Vorpruefung und MDR-Intended-Purpose-Dokument beauftragen.</w:t>
      </w:r>
    </w:p>
    <w:p>
      <w:pPr>
        <w:pStyle w:val="Heading2"/>
        <w:spacing w:after="150" w:before="300"/>
      </w:pPr>
      <w:r>
        <w:t xml:space="preserve">Phase 2 - Empfehlungslogik und Datenschutz entkoppeln (2-3 Wochen)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Status-Anzeige und Kauf-Button strukturell trennen.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Echte Consent-Screen vor Gesundheitsdateneingabe einbauen.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Diagnosen-Freitextfeld auf Datenminimierung pruefen.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AGB erstellen und verlinken.</w:t>
      </w:r>
    </w:p>
    <w:p>
      <w:pPr>
        <w:pStyle w:val="Heading2"/>
        <w:spacing w:after="150" w:before="300"/>
      </w:pPr>
      <w:r>
        <w:t xml:space="preserve">Phase 3 - Entwickler- und Sicherheits-Fundament (parallel)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Unit-Tests fuer Status-/Referenzbereich-Berechnung.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Google Play Integrity API fuer IAP-Validierung einbinden.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JS/HTML-Bundle minifizieren und obfuskieren.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Versions-Update fest in den Release-Workflow aufnehmen.</w:t>
      </w:r>
    </w:p>
    <w:p>
      <w:pPr>
        <w:pStyle w:val="Heading2"/>
        <w:spacing w:after="150" w:before="300"/>
      </w:pPr>
      <w:r>
        <w:t xml:space="preserve">Phase 4 - Echter Mehrwert (nach den kritischen Fixes)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Naehrstoff- und Medikamenten-Interaktionswarnungen auf Basis des Diagnose-Felds.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Trend-aware Hinweise, saisonale Hinweise, zentrale Health-Claims-Bibliothek.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Rechtssichere Loesungswege fuer die Kernprobleme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Konkrete Loesung</w:t>
            </w:r>
          </w:p>
        </w:tc>
        <w:tc>
          <w:tcPr>
            <w:tcW w:type="dxa" w:w="312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Aufwand / Hinweis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Amazon-Affiliate-Links ohne Zugelassene Mobile Anwendung plus Paywall blockiert freien Link-Zugriff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Zulassung als Mobile Anwendung bei Amazon PartnerNet beantragen; Paywall-Struktur so anpassen, dass Amazon-Links auch ohne Premium erreichbar sind; Linking-Mechanismus auf offizielle Amazon-Tools pruefen</w:t>
            </w:r>
          </w:p>
        </w:tc>
        <w:tc>
          <w:tcPr>
            <w:tcW w:type="dxa" w:w="31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Braucht Abstimmung mit Amazon direkt sowie eine Produktentscheidung - hoechste Prioritaet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 + Kauf-Button in derselben Box (UWG-Naehe)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Strukturelle Trennung: Status/Info-Bildschirm zuerst, Supplement-Vorschlag als separater, klar gekennzeichneter Bildschirm dahinter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 technische UI-Aenderung, senkt Risiko spuerbar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Diagnostik-nahe Selbsttests (Zonulin, Calprotectin, Cortisol, Testosteron) beworben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Bis zur Pruefung pausieren oder mit schaerferer Formulierung versehen; danach Einzelfallpruefung durch Fachanwalt HWG/Medizinprodukterecht</w:t>
            </w:r>
          </w:p>
        </w:tc>
        <w:tc>
          <w:tcPr>
            <w:tcW w:type="dxa" w:w="31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Braucht externe rechtliche Pruefung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Melatonin / Berberin als Nahrungsergaenzung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Dosierungsschwellen und Verkehrsfaehigkeit in Deutschland durch Fachanwalt/Apotheker pruefen lassen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Braucht externe Pruefung, aber schnell zu klaeren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Fehlende Consent-Screen fuer Gesundheitsdaten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Einfacher Zustimmungs-Screen beim ersten App-Start, Text 1:1 aus der Datenschutzerklaerung, Zeitstempel lokal speichern</w:t>
            </w:r>
          </w:p>
        </w:tc>
        <w:tc>
          <w:tcPr>
            <w:tcW w:type="dxa" w:w="31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Kleiner, gut abschaetzbarer Entwicklungsaufwand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Open-Food-Facts-Datenfluss nicht in der Datenschutzerklaerung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Satz ergaenzen, welche Daten an Open Food Facts uebertragen werden; Play-Console-Datensicherheitsformular aktualisieren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Reine Textaenderung, sehr schnell erledigt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Uneinheitliche Werbekennzeichnung externer Links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Fuer jeden Partner (myBioma, Medivere, Verisana, Shop-Apotheke) klaeren: Provision ja/nein - danach einheitlich kennzeichnen</w:t>
            </w:r>
          </w:p>
        </w:tc>
        <w:tc>
          <w:tcPr>
            <w:tcW w:type="dxa" w:w="31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Klaerung mit den jeweiligen Partnerprogrammen noetig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Fehlende AGB trotz echtem IAP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AGB auf Basis eines Standard-Templates erstellen lassen, Verlinkung in Play Console und App-Footer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Einmalige anwaltliche Erstellung, danach Wartung selbst moeglich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Keine DPIA (Datenschutz-Folgenabschaetzung) trotz systematischer Gesundheitsdatenverarbeitung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Informelle Vorpruefung durch Datenschutzberater, ob DPIA nach Art. 35 DSGVO verpflichtend ist; bei Bedarf formal durchfuehren vor Public-Scale-Up</w:t>
            </w:r>
          </w:p>
        </w:tc>
        <w:tc>
          <w:tcPr>
            <w:tcW w:type="dxa" w:w="31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Externe Pruefung noetig, aber parallel zur Entwicklung planbar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Diagnosen-Freitextfeld ohne Zweckbindungs-Absicherung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Entweder auf definierte Auswahlliste begrenzen oder Zweckbindung explizit im Consent-Text festhalten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Kleiner Aufwand, reduziert Datenminimierungs-Risiko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Keine schriftliche Medizinprodukt-Einstufungs-Begruendung (MDR)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Intended-Purpose-Dokument erstellen: warum die App kein Medizinprodukt ist, abgestimmt mit Health-Claims-Pruefung; App- und TikTok-Wortwahl daran ausrichten</w:t>
            </w:r>
          </w:p>
        </w:tc>
        <w:tc>
          <w:tcPr>
            <w:tcW w:type="dxa" w:w="31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Regulatory-Affairs-Berater, einmalig, dann Referenzdokument fuer Marketing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In-App-Kaeufe nur clientseitig validiert (kein Server)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Play Integrity API einbinden; mittelfristig serverseitige Kaufverifizierung ergaenzen</w:t>
            </w:r>
          </w:p>
        </w:tc>
        <w:tc>
          <w:tcPr>
            <w:tcW w:type="dxa" w:w="31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Sicherheitsexperte/Entwickler, vor groesserem Nutzerwachstum wichtig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Business-Logik (Referenzwerte, Premium-Check, Affiliate-Tag) unobfuskiert im WebView-Bundle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JS/HTML minifizieren und obfuskieren; Premium-Freischaltung langfristig serverseitig statt rein clientseitig pruefen</w:t>
            </w:r>
          </w:p>
        </w:tc>
        <w:tc>
          <w:tcPr>
            <w:tcW w:type="dxa" w:w="31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Reduziert Patch-/Crack-Risiko fuer die Paywall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Gemeinsame Schlussfolgerung der Expertenrunde</w:t>
      </w:r>
    </w:p>
    <w:p>
      <w:pPr>
        <w:spacing w:after="160"/>
      </w:pPr>
      <w:r>
        <w:t xml:space="preserve">Alle sechs Perspektiven zusammengefuehrt zu einer Antwort auf die Frage: wie kommt die App sicher an den Start?</w:t>
      </w:r>
    </w:p>
    <w:p>
      <w:pPr>
        <w:spacing w:after="160"/>
      </w:pPr>
      <w:r>
        <w:t xml:space="preserve">1. Geschlossener Test (12 Tester, 14 Tage) kann sofort starten - unabhaengig von Amazon-Zulassung, TikTok-Content und den rechtlichen Pruefungen, weil dabei weder Affiliate-Links live sein noch oeffentlich vermarktet werden muss.</w:t>
      </w:r>
    </w:p>
    <w:p>
      <w:pPr>
        <w:spacing w:after="160"/>
      </w:pPr>
      <w:r>
        <w:t xml:space="preserve">2. Der volle TikTok-Push und die Amazon-Affiliate-Monetarisierung sollten nicht vor Abschluss der Phase-1-Themen erfolgen: Amazon-Mobile-App-Zulassung, Entfernen der diagnostiknahen Selbsttest-Links, Consent-Screen.</w:t>
      </w:r>
    </w:p>
    <w:p>
      <w:pPr>
        <w:spacing w:after="160"/>
      </w:pPr>
      <w:r>
        <w:t xml:space="preserve">3. DPIA-Vorpruefung und MDR-Intended-Purpose-Dokument koennen parallel zur Entwicklung bei externen Fachleuten beauftragt werden - sie blockieren nicht die Code-Arbeit, muessen aber vor einem groesseren Nutzerzuwachs vorliegen.</w:t>
      </w:r>
    </w:p>
    <w:p>
      <w:pPr>
        <w:spacing w:after="160"/>
      </w:pPr>
      <w:r>
        <w:t xml:space="preserve">4. Sicherheits-Haertung (IAP-Validierung, JS-Obfuskierung) ist kein Blocker fuer den kleinen Testerkreis, aber ein klares Muss, bevor die App oeffentlich im Play Store steht.</w:t>
      </w:r>
    </w:p>
    <w:p>
      <w:pPr>
        <w:spacing w:after="160"/>
      </w:pPr>
      <w:r>
        <w:t xml:space="preserve">5. Empfohlene Reihenfolge: (1) app/src-Architekturentscheidung sofort, (2) parallel: Tester fuer Closed Testing gewinnen UND externe Pruefungen (Anwalt, Datenschutz, Regulatory Affairs) beauftragen, (3) Consent-Screen, Paywall-Anpassung und Entfernen der Diagnostik-Links umsetzen, (4) Amazon-Mobile-App-Zulassung beantragen, (5) danach erst TikTok-Content-Start und Amazon-Affiliate live schalten, (6) IAP-Sicherheits-Haertung spaetestens vor dem oeffentlichen Play-Store-Launch abschliessen.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5A5A" w:sz="6" w:space="4"/>
      </w:pBdr>
      <w:spacing w:after="200" w:before="400"/>
    </w:pPr>
    <w:rPr>
      <w:rFonts w:ascii="Calibri" w:cs="Calibri" w:eastAsia="Calibri" w:hAnsi="Calibri"/>
      <w:b/>
      <w:bCs/>
      <w:color w:val="0E5A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2026-07-19T14:00:39.312Z</dcterms:created>
  <dcterms:modified xsi:type="dcterms:W3CDTF">2026-07-19T14:00:39.312Z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